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AI 173/23 - 247/2024 vom 9. August 2024</w:t>
      </w:r>
    </w:p>
    <w:p>
      <w:r>
        <w:t>VD Tribunal cantonal, 2024-08-09, FR</w:t>
      </w:r>
    </w:p>
    <w:p>
      <w:r>
        <w:rPr>
          <w:b/>
        </w:rPr>
        <w:t xml:space="preserve">Quelle: </w:t>
      </w:r>
      <w:r>
        <w:t>https://mcp.opencaselaw.ch/entscheid/vd_findinfo_AI_173_23_-_247_2024___________</w:t>
      </w:r>
    </w:p>
    <w:p>
      <w:r>
        <w:t>FR: VD_FINDINFO AI 173/23 - 247/2024 du 9 août 2024</w:t>
      </w:r>
    </w:p>
    <w:p>
      <w:r>
        <w:t>IT: VD_FINDINFO AI 173/23 - 247/2024 del 9 agosto 2024</w:t>
      </w:r>
    </w:p>
    <w:p>
      <w:pPr>
        <w:pStyle w:val="Heading2"/>
      </w:pPr>
      <w:r>
        <w:t>Regeste</w:t>
      </w:r>
    </w:p>
    <w:p>
      <w:r>
        <w:t>AI{ASSURANCE}, RENAISSANCE DU DROIT À LA PRESTATION D'ASSURANCE, ATTEINTE À LA SANTÉ PHYSIQUE, CALCUL | 28 LAI, 32 LAI, 34 LAI, 36 LAI, 4 al. 1 LAI, 29 LAVS, 29bis LAVS, 29quater LAVS, 30 LAVS, 16 LPGA, 17 al. 1 LPGA, 6 LPGA, 7 LPGA, 8 al. 1 LPGA, 32 al. 1 RAI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a) En conclusion, le recours doit être admis et la décision attaquée annulée, la cause étant renvoyée à l’intimé afin qu’il complète l’instruction dans le sens des considérants puis rende une nouvelle décision. b) La procédure de recours en matière de contestations portant sur des prestations de l’assurance-invalidité est soumise à des frais judiciaires (art. 69 al. 1 bis LAI). Il convient de les fixer à 600 fr. et de les mettre à la charge de l’intimé, vu l’issue du litige. La partie recourante obtient gain de cause et a droit à une indemnité de dépens à titre de participation aux honoraires de son conseil (art. 61 let. g LPGA). Il convient d’arrêter cette indemnité à 3'000 fr., débours et TVA compris (art. 10 et 11 TFJDA [tarif du 28 avril 2015 des frais judiciaires et des dépens en matière administrative ; BLV 173.36.5.1]), et de la mettre à la charge de la partie intimée.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