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173/20 - 162/2021 vom 28. Mai 2021</w:t>
      </w:r>
    </w:p>
    <w:p>
      <w:r>
        <w:t>VD Tribunal cantonal, 2021-05-28, FR</w:t>
      </w:r>
    </w:p>
    <w:p>
      <w:r>
        <w:rPr>
          <w:b/>
        </w:rPr>
        <w:t xml:space="preserve">Quelle: </w:t>
      </w:r>
      <w:r>
        <w:t>https://mcp.opencaselaw.ch/entscheid/vd_findinfo_AI_173_20_-_162_2021</w:t>
      </w:r>
    </w:p>
    <w:p>
      <w:r>
        <w:t>FR: VD_FINDINFO AI 173/20 - 162/2021 du 28 mai 2021</w:t>
      </w:r>
    </w:p>
    <w:p>
      <w:r>
        <w:t>IT: VD_FINDINFO AI 173/20 - 162/2021 del 28 maggio 2021</w:t>
      </w:r>
    </w:p>
    <w:p>
      <w:pPr>
        <w:pStyle w:val="Heading2"/>
      </w:pPr>
      <w:r>
        <w:t>Regeste</w:t>
      </w:r>
    </w:p>
    <w:p>
      <w:r>
        <w:t>RENTE D'INVALIDITÉ, FORCE PROBANTE, RENTE TEMPORAIRE, MÉTHODE MIXTE D'ÉVALUATION, ENQUÊTE{EN GÉNÉRAL}, TENUE DU MÉNAGE, REVENU D'INVALIDE, ÉVALUATION DE L'INVALIDITÉ, QUART DE RENTE | 28 al. 1 LAI, 28a LAI, 4 al. 1 LAI, 16 LPGA, 17 LPGA, 6 LPGA, 7 LPGA, 8 LPGA, 29bis RAI, 69 al. 2 RAI, 88a al. 1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rente d’invalidité, singulièrement sur sa capacité de travail dès le 16 juillet 2018. b) A titre liminaire, il y a lieu de relever que l’intéressée invoque un défaut de motivation de la décision attaquée (cf. mémoire de recours du 10 juin 2020 p. 10 s.), grief relevant formellement d’une violation de la garantie procédurale du droit d’être entendu. Il apparaît toutefois que la recourante reproche en réalité à l’intimé d’avoir retenu les appréciations du Dr G.________ plutôt que l’avis de son médecin traitant s’agissant de sa capacité de travail dans une activité adaptée et de n’avoir pas suffisamment tenu compte de sa situation pour déterminer le taux d’abattement sur le revenu d’invalidité. Dans cette mesure, en tant qu’il porte sur le résultat de l'appréciation des preuves faite par l’intimé, le grief tiré d’une violation du droit d'être entendu se confond ici avec celui d’une constatation manifestement inexacte des faits pertinents, que la recourante soulève également. Ce grief sera donc examiné avec le fond du litige.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(règlement fédéral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En outre,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RAI est toutefois applicable par analogie. L’art. 29 bis RAI prévoit ainsi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En outre, les rapports d’examen réalisés par un SMR en vertu de l'art. 49 al. 2 RAI peuvent revêtir la même valeur probatoire que des expertises, dans la mesure où ils satisfont aux exigences définies par la jurisprudence en matière d’expertise médicale, bien qu’ils ne soient pas des expertises au sens de l'art. 44 LPGA et ne soient pas soumis aux mêmes exigences formelles (ATF 135 V 254 consid. 3.4 ; TF 9C_745/2010 du 30 mars 2011 consid. 3.3 ;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telle expertise si des doutes, mêmes faibles, subsistent quant à la fiabilité et à la pertinence des constatations médicales effectuées par le service médical interne de l'assurance (ATF 135 V 465 consid. 4.6 ; TF 9C_745/2010 du 30 mars 2011 consid. 3.3). e) Selon la jurisprudence,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 TF 9C_745/2010 du 30 mars 2011 consid. 3.2 ;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(TF 9C_269/2012 du 6 août 2012 consid. 3.2.1).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Pour remettre en cause la valeur probante d’une expertise médicale, il y a lieu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9C_604/2018 du 24 janvier 2019 consid. 4.4 ; 9C_748/2013 du 10 février 2014 consid. 4.1.1 ; 9C_631/2012 du 9 novembre 2012 consid. 3). Cela vaut également lorsqu’un ou plusieurs médecins ont émis une opinion divergeant de celle de l’expert (TF 9C_268/2011 du 26 juillet 2011 consid. 6.1.2 et les références cités).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 _803/2013 du 13 février 2014 consid. 3.1, 9C_298/2009 du 3 février 2010 consid. 2.2).</w:t>
      </w:r>
    </w:p>
    <w:p>
      <w:r>
        <w:rPr>
          <w:b/>
        </w:rPr>
        <w:t>E. 5</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 e phrase, LPGA ; ATF 141 V 281 consid. 3.7.1 ; 127 V 294 consid. 4c in fine ; 102 V 165). Avant tout, la reconnaissance de l’existence d’une atteinte à la santé psychique suppose la présence d’un diagnostic émanant d’un expert (psychiatre) et s’appuyant lege artis sur les critères d’un système de classification reconnu (ATF 141 V 281 consid. 2.1 et 2.1.1 ; 130 V 396 consid. 5.3 et 6). Ainsi, conformément à la jurisprudence,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(TF 9C_699/2011 du 21 mai 2012 consid. 4.2 et les références citées).</w:t>
      </w:r>
    </w:p>
    <w:p>
      <w:r>
        <w:rPr>
          <w:b/>
        </w:rPr>
        <w:t>E. 6</w:t>
      </w:r>
    </w:p>
    <w:p>
      <w:r>
        <w:t>a) En l’espèce, l’intimé s’est fondé sur le rapport d’examen clinique du SMR du 18 juillet 2018, pour retenir que l’assurée avait présenté une incapacité de travail totale dans toute activité dès le 18 septembre 2015, qu’il y avait eu une amélioration du 21 novembre 2016 au 23 mars 2017 avec une capacité de travail de 50 % dans une activité adaptée, puis une péjoration avec une incapacité de travail de 100 % dans toute activité dès le 24 mars 2017, et enfin qu’elle avait retrouvé une capacité de travail dans une activité strictement adaptée à ses limitations fonctionnelles et raisonnablement exigible de 75 % dès le 16 juillet 2018. b) La recourante conteste en premier lieu la valeur probante de ce rapport. aa) L’intéressée fait d’abord état d’un « biais important », en pointant quelques observations du Dr G.________ qui tendraient à la faire apparaître comme une personne cherchant à profiter du système. Les phrases en question sont cependant formulées sans jugement de valeur. S’agissant en premier lieu de l’indication selon laquelle la recourante souhaite obtenir une rente, elle se justifie dès lors que sa demande de prestations de l’assurance-invalidité pourrait tout aussi bien concerner l’octroi de mesures de réadaptation. Il s’agit ainsi de poser le cadre du débat et le Dr G.________ a uniquement repris les propos tenus par la recourante, sans les commenter. Quant aux remarques relatives aux changements de position de la patiente durant l’entretien et au projet qu’elle a mentionné de se rendre au Portugal, le médecin s’est limité à mettre en lien ses observations avec certaines déclarations de la recourante, afin d’expliquer pour quels motifs ces éléments lui paraissaient contradictoires et l’amenaient à conclure que la recourante exagérait certaines plaintes. Il ne s’est toutefois pas prononcé sur la cause ou la finalité des exagérations constatées. Le Dr G.________ a d’ailleurs usé du conditionnel pour évoquer l’incompatibilité d’un voyage au Portugal au regard de l’intolérance à la position assise affichée par la recourante au cours de l’entretien, étant relevé que la recourante ne conteste pas qu’un tel voyage, qu’il soit fait en avion comme mentionné par le Dr G.________ ou en voiture comme elle le prétend dans son recours, impliquent nécessairement de rester assis durant de longues périodes. Du reste, si le Dr G.________ a observé que les nombreux changements de position assise/debout de la recourante pendant l’entretien ne semblaient pas motivés par un réel inconfort au moment où ils sont intervenus, il n’a pas nié l’existence d’une limitation fonctionnelle en relation avec la position assise prolongée mais a seulement évalué la durée de cette position à 45 minutes et non de 10 à 15 minutes comme le suggérait le comportement de la recourante. Par ailleurs, force est de constater que les conclusions du Dr G.________ relatives à l’impact de l’atteinte à la santé sur la capacité de travail de la recourante ne sont pas uniquement fondées sur les observations litigieuses, mais prennent également en compte un ensemble d’examens effectués par ce praticien (examen neurologique, examen de la mobilité lombaire, palpation, observation des mouvements) et la documentation mise à sa disposition (IRM post-opératoires et rapports relatifs aux investigations faites sur la hanche de la recourante). Or, il appartient précisément au médecin mandaté pour déterminer la capacité de travail d’un assuré, d’écouter ses plaintes et de les confronter aux autres données dont il dispose. En l’occurrence, le Dr G.________ a rapporté les plaintes exprimées par l’assurée et a démontré, d’une part, qu’elles présentaient certaines incohérences quant à leur intensité en regard de ce que la recourante déclarait pouvoir faire et, d’autre part, n’étaient pas objectivables par les examens médicaux. En particulier, l’examen neurologique était normal, les examens d’imagerie post-opératoires ne montraient pas de complication, une périarthrite avait été exclue et il n’y avait pas d’attitude antalgique au niveau du rachis. Dans ce contexte, il apparaît que les mentions litigieuses ne dénotent pas d’un manque d’objectivité de la part du Dr G.________, de sorte que ce grief de la recourante doit être rejeté. bb) La recourante a également remis en cause les compétences du Dr G.________, estimant qu’il n’est pas habilité à se prononcer sur l’atteinte à sa santé dans la mesure où il n’a « pas de compétence particulière en neurochirurgie ». Cette argumentation tombe à faux. Certes, l’intéressé dispose d’un titre de spécialiste FMH en rhumatologie, tandis que la recourante est suivie depuis 2015 par des neurochirurgiens. Cependant, la neurochirurgie traite des aspects pathologiques de l’ensemble du système nerveux (système nerveux central et périphérique, système nerveux somatique et autonome, systèmes vasculaires afférents et efférents), de la transmission neuromusculaire et de la musculature (lisse et striée). Quant à la rhumatologie, cette spécialité s’occupe de l’étiologie, de la pathogénèse, du diagnostic, du traitement non chirurgical, de la prévention et de la réadaptation des maladies rhumatismales, parmi lesquelles figurent les maladies dégénératives et inflammatoires des articulations et de la colonne vertébrale, les atteintes des parties molles, ainsi que les maladies osseuses, les troubles du métabolisme, les maladies infectieuses et les atteintes néoplasiques de l’appareil locomoteur (cf. descriptif des titres de spécialistes FMH, https://www.siwf.ch/fr/formation-postgraduee/titres-specialiste-formations.cfm). Il ressort de ces définitions que ces deux spécialités se recoupent largement. En outre, la question litigieuse concerne l’évaluation de l’impact des douleurs dont se plaint la recourante sur sa capacité de travail, ce qui entre précisément dans le champ de compétence d’un rhumatologue. Par ailleurs, aucun élément des différents rapports de la Dre M.________ ne met en exergue de problématique que seul un neurochirurgien serait à même d’apprécier ni ne mentionne un échec de la chirurgie. Ainsi, il convient de retenir que le Dr G.________ dispose bien des qualifications nécessaires pour se prononcer sur la capacité de travail de la recourante. Ce deuxième grief doit donc également être rejeté. cc) Enfin, la recourante estime que l’examen du Dr G.________ a été expéditif car l’entretien n’a duré que 27 minutes. Ce grief repose sur une allégation de fait tronquée et doit donc être rejeté. En effet, s’il est effectivement mentionné, au chapitre « discussion » du rapport du 20 août 2018, que l’entretien a duré 27 minutes, il ne s’agit pas du seul temps consacré par le Dr G.________ à l’examen de la recourante. Il ressort en effet du préambule du rapport que l’entretien a été complété d’un examen clinique de 28 minutes, puis d’une étude du dossier d’imagerie de même durée. Le préambule du premier rapport, établi le 5 mars 2018, faisait état d’un horaire similaire. Il apparaît ainsi que le Dr G.________ a consacré, par deux fois, environ une heure et demie à l’examen de la recourante, sans compter la rédaction des deux rapports. Quoi qu’il en soit, cette durée ne remet nullement en cause la valeur probante de l’examen clinique. En effet, de jurisprudence constante, le Tribunal fédéral considère qu’un entretien de courte durée entre l’expert et l’expertisé n’exclut pas une étude fouillée et complète du cas (TF 9C_550/2014 du 3 février 2015 consid. 4.3.3 ; TF I 533/06 du 23 mai 2007 consid. 5.6), jurisprudence applicable mutatis mutandis à un examen clinique SMR. Aucun élément ne permet par ailleurs de considérer que les examens effectués étaient lacunaires. c) La recourante conteste ensuite présenter une capacité de travail de de 75 % dans une activité adaptée, telle que retenue par le Dr G.________. Elle fait valoir que ce médecin a émis une simple opinion, divergente de l’avis de la Dre M.________, mais non étayée par des éléments objectifs. Certes, cette spécialiste a mentionné dès 2017, soit avant la seconde intervention chirurgicale, qu’une reprise du travail à 50 % dans une activité adaptée était possible, à long terme et par paliers progressifs. Elle a réitéré cette appréciation dans son rapport du 16 avril 2018. Il convient toutefois de relever, contrairement à ce que soutient la recourante, que la Dre M.________ n’a pas explicité les motifs pour lesquels elle a retenu une capacité de travail de 50 %, au contraire du Dr G.________. En outre, ces rapports ont été établis avant la seconde opération ou peu de temps après. Il en va de même du rapport établi le 1 er mai 2018 par la Dre H.________. Or, lors de son premier examen, le Dr G.________ avait constaté qu’à six semaines post-opératoires, la capacité de travail dans une activité adaptée était nulle car la situation n’était pas stabilisée, et avait préconisé de procéder à un nouvel examen à six mois postopératoires. Dans ces circonstances, il paraît adéquat d’accorder une force probante plus grande au rapport établi six mois après l’opération, lorsque la situation médicale peut être considérée comme stabilisée. A cela s’ajoute que la Dre M.________ s’est spontanément prononcée sur le projet de décision de l’intimé et qu’elle n’a apporté aucun élément à ce moment-là en relation avec le taux d’activité reconnu dans une activité adaptée, ses remarques concernant uniquement les possibilités concrètes de la recourante de trouver une telle activité sur le marché du travail. Enfin, comme déjà relevé, le Dr G.________ a fondé son appréciation sur un examen complet de la recourante et de son dossier médical. Ses conclusions sont étayées et mentionnent les raisons pour lesquelles il relativise les plaintes de la recourante et s’écarte de l’appréciation de la Dre M.________. Dès lors, il y a lieu de donner pleine valeur probante au rapport du Dr G.________ du 18 juillet 2018. d) La recourante a encore fait valoir que, dans la mesure où le Dr G.________ a retenu qu’elle amplifiait ses symptômes, l’intimé aurait dû ordonner une expertise psychiatrique afin d’évaluer la présence d’un éventuel trouble somatoforme douloureux. A cet égard, il apparaît que cette hypothèse est soulevée par la recourante uniquement et qu’elle n’a été évoquée ni par le Dr G.________, ni par les médecins traitantes de la recourante. Ces deux dernières n’ont en outre pas jugé utile d’adresser leur patiente à une consultation spécialisée, bien qu’elles la suivent régulièrement depuis 2015. La seule amplification des plaintes observée par le Dr G.________ ne justifie pas, en soi, d’investiguer sur le plan psychiatrique en l’absence de tout autre indice allant dans le sens d’une atteinte psychiatrique invalidante, étant au demeurant relevé que ce médecin évoque un comportement conscient de la part de l’assurée, ce qui est un motif d’exclusion d’une atteinte à la santé ouvrant le droit aux prestations de l’assurance (TF 9C_16/2016 du 14 juin 2016 consid. 3.2). En d’autres termes, il n’y a pas lieu d’ordonner des mesures d’instruction complémentaires dans ce sens. e) Ainsi, aucun élément ne permet de s’écarter de l’appréciation du Dr G.________ ni ne commande de poursuivre les investigations, ce qui revient à considérer que la recourante présente une capacité de travail de 75 % dans une activité adaptée à ses limitations fonctionnelles depuis le 18 juillet 2018.</w:t>
      </w:r>
    </w:p>
    <w:p>
      <w:r>
        <w:rPr>
          <w:b/>
        </w:rPr>
        <w:t>E. 7</w:t>
      </w:r>
    </w:p>
    <w:p>
      <w:r>
        <w:t>Il reste à examiner si la recourante a droit à une rente d’invalidité.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b) Pour les personnes qui exerçaient une activité lucrative à temps partiel ou travaillaient sans être rémunérées dans l’entreprise de leur conjoint, d’une part, et qui accomplissaient par ailleurs des travaux habituels aux sens des art. 8 al. 3 LPGA et 28a al. 2 LAI, d’autre part, il convient d’abord de déterminer quelle part de son temps, exprimée en pourcent,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c) En l’espèce, au moment de la survenance de l’atteinte à la santé, la recourante exerçait une activité lucrative à 72 % et consacrait le temps restant, soit 28 %, à l’accomplissement des tâches ménagères. L’intéressée ne conteste pas que, sans l’atteinte à la santé, elle maintiendrait durablement cette répartition. C’est donc à juste titre que l’intimé a appliqué la méthode mixte d’évaluation de l’invalidité prévue par l’art. 28a al. 3 LAI en retenant cette clé de répartition.</w:t>
      </w:r>
    </w:p>
    <w:p>
      <w:r>
        <w:rPr>
          <w:b/>
        </w:rPr>
        <w:t>E. 8</w:t>
      </w:r>
    </w:p>
    <w:p>
      <w:r>
        <w:t>La recourante conteste en premier lieu le taux d’empêchement retenu par l’intimé pour la part ménagère. a)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 er avril 2014 consid. 2.3 et les références citées). b) En l’espèce, la recourante remet en cause la valeur probante du rapport d’enquête ménagère mise en œuvre par l’intimé en premier lieu parce qu’il aurait été effectué avant que la situation ne soit claire et définitive s’agissant de la capacité de travail. Cet argument tombe, compte tenu des considérations qui précèdent à ce propos. En effet, l’enquête ménagère a été faite postérieurement au rapport rendu par le Dr G.________ et en mentionne expressément les conclusions. c) La recourante fait ensuite valoir que le taux d’empêchement retenu par l’enquêteur signifie que l’aide attendue de son mari et de sa fille cadette porte sur 76 % de ses tâches ménagères, ce qui serait excessif dès lors que ces personnes travaillent à temps plein et ne tient pas compte du fait que sa fille cadette, âgée de 19 ans, prendra probablement son autonomie prochainement. Il convient de relever préliminairement que le rapport d’enquête ménagère est fondé sur une visite à domicile et reprend les déclarations faites à cette occasion par la recourante pour chaque poste observé. La recourante ne prétend pas que l’enquêteur aurait mal retranscrit ses propos ou qu’il y aurait des omissions ou inexactitudes. Elle ne remet pas non plus en cause le pourcentage attribué à chaque poste (40 % pour l’alimentation, 30 % pour l’entretien du logement, 10 % pour les achats et courses diverses, 20 % pour la lessive et l’entretien des vêtements, 0 % pour l’assistance aux enfants et aux proches). Par conséquent, il n’y a pas lieu de revenir sur ces éléments. Par ailleurs, le parallèle opéré par la recourante entre les tâches ménagères et son activité professionnelle d’employée d’entretien n’a pas lieu d’être, comme l’a retenu le Tribunal fédéral (TF 9C_276/2020 consid. 4.3). En outre, l’on peut attendre de l’assuré atteint dans sa santé qu’il adapte son fonctionnement et réorganise ses tâches ménagères spontanément, par exemple en renonçant à certaines tâches non essentielles ou en fractionnant son travail. Il n’y a dès lors aucune incohérence à reconnaître une certaine capacité de la recourante à effectuer des tâches ménagères malgré son incapacité complète de travail dans son activité professionnelle. S’agissant ensuite de l’enfant qui fait ménage commun avec la recourante, on relève qu’elle est majeure, de sorte qu’il est normal qu’elle participe à la tenue du ménage, au même titre qu’elle serait amenée à le faire si elle vivait de manière autonome dans son propre logement. Cependant, s’il y a lieu d’admettre avec la recourante que l’intéressée prendra vraisemblablement son indépendance une fois qu’elle aura terminé sa formation professionnelle, son départ aura aussi pour corollaire une diminution des tâches ménagères restant à la charge de la recourante et de son mari (moins de courses, moins de lessive, moins de vaisselle, etc.). Ce dernier argument n’est donc pas pertinent. d) Reste ainsi à déterminer si l’enquêteur a tenu compte de manière adéquate des limitations de la recourante, respectivement de l’aide que l’on peut raisonnablement attendre de ses proches. A ce propos, il apparaît que, pour chaque poste, l’enquêteur a listé les tâches auxquelles la recourante avait dû renoncer en raison de l’atteinte à sa santé, puis a listé ce qu’elle était encore capable de faire seule et ce qu’il estimait pouvoir être effectué par son mari et sa fille, pour en déduire le taux d’empêchement lié à l’atteinte à la santé. Comme déjà dit, la recourante conteste uniquement les tâches attendues de son mari et de sa fille. S’agissant plus particulièrement des postes examinés par l’enquêteur, celui-ci a constaté à propos de l’alimentation que la recourante avait pour habitude de cuisiner, de faire le service à table pour ses proches et qu’elle recevait fréquemment des invités. Il a relevé que la recourante pouvait encore préparer les repas quotidiens et considéré qu’il pouvait être exigé des proches de celle-ci qu’ils se servent eux-mêmes dans les plats, débarrassent la table, se chargent du lave-vaisselle, nettoient la cuisine et s’occupent de la préparation de certains repas. Ce faisant, l’enquêteur ne reporte pas sur eux l’entier des tâches auxquelles la recourante a dû renoncer, mais seulement une partie. Ainsi, le taux d’empêchement retenu, soit 25 %, concerne le renoncement de la recourante aux préparations festives auxquelles elle aimait s’adonner fréquemment (repas élaborés pour des invités, pâtisseries, etc.) et qui ne sont pas attendus de ses proches. Ce taux paraît adéquat, tandis que les tâches retenues à la charge des proches ne dépassent pas une aide raisonnablement exigible. Pour l’entretien du logement ensuite, l’enquêteur a relevé que la recourante avait dû renoncer à ses exigences élevées en matière de nettoyage. Constatant que la recourante pouvait, selon ses dires, procéder aux travaux légers qui sont à sa hauteur, il a retenu qu’il pouvait être attendu de ses proches qu’ils procèdent à un nettoyage léger du reste du logement, soit moins poussé et moins fréquent que ce que faisait la recourante, et qu’ils amènent les poubelles aux containers. Le taux d’empêchement de 30 % paraît ainsi une évaluation correcte du renoncement aux travaux de nettoyages plus approfondis, qui ne sont donc pas attendus des proches, avec pour corollaire que le report de charge sur ces derniers n’est pas excessif. Pour les achats et courses diverses, l’enquêteur n’a retenu aucun empêchement, en relevant que la recourante effectuait désormais ses courses seule, mais plus souvent, et que son mari n’avait plus alors qu’à décharger la voiture au lieu de l’accompagner dans les magasins. Cette appréciation ne prête pas le flanc à la critique car il s’agit d’une réorganisation des tâches que l’on peut attendre spontanément d’un assuré, étant au demeurant relevé que ce mode de faire décharge le mari de la recourante d’une partie des tâches qu’il assumait auparavant, ce qui compense quelque peu l’augmentation de ses autres tâches. Concernant ensuite la lessive et l’entretien des vêtements, il est relevé que la recourante disposait d’un lave-linge et d’un sèche-linge, qu’elle pouvait vider le sèche-linge, plier et ranger le linge et qu’elle avait renoncé à repasser les vêtements, à l’exception des chemises de son mari qu’elle continuait à repasser de manière fractionnée. L’enquêteur a considéré qu’il pouvait être exigé des proches de la recourante qu’ils chargent et vident le lave-linge, mais non qu’ils repassent à la place de la recourante, le taux d’empêchement de 25 % tenant compte du renoncement à cette tâche. Le taux paraît correct, tandis que le report de charge sur les proches reste raisonnable. En définitive, force est de constater que le rapport d’enquête a pleine valeur probante et que le taux d’empêchement global de 24 % (soit [40 % x 25 %] + [30 % x 30 %] + [10 % x 0] + [20 % x 25 %]) retenu par l’enquêteur est justifié et ne consacre pas un report de charges excessif sur les proches de la recourante.</w:t>
      </w:r>
    </w:p>
    <w:p>
      <w:r>
        <w:rPr>
          <w:b/>
        </w:rPr>
        <w:t>E. 9</w:t>
      </w:r>
    </w:p>
    <w:p>
      <w:r>
        <w:t>La recourante remet en cause le degré d’invalidité retenu pour la part active au motif que la reprise d’une activité adaptée à ses limitations fonctionnelle ne serait pas exigible compte tenu de sa situation personnelle et de l’importance de ses limitations fonctionnelles.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S’agissant de l’âge, la jurisprudence tient compte de l’âge de l’assuré au moment où l’exigibilité de l’exercice d’une activité adaptée a été constatée (ATF 143 V 431 consid. 4.5.2 ; 138 V 457 consid. 3.3 ; TF 9C_839/2017 du 24 avril 2017 consid. 6.2). Elle reconnaît en général qu’à partir de 60 ans, il n'existe plus de possibilité réaliste d'exploiter la capacité résiduelle de travail sur un marché du travail supposé équilibré (cf. TF 9C_918/2008 du 28 mai 2009 consid. 4.2.2 ; 9C_437/2008 du 19 mars 2009 consid. 4.2 et 4.4), mais rarement avant s’il n’existe pas d’autre circonstance particulière notamment en lien avec le parcours professionnel de l’assuré ou les limitations induites par son état de santé (cf. TF 9C_839/2017 du 24 avril 2017 consid. 6.2 ; 9C_789/2016 du 5 avril 2017 consid. 5.2 ; TF 9C_355/2011 du 8 novembre 2011 consid. 4.4 ; 9C_578/2009 du 20 décembre 2009 consid. 4.3.2). b) En l’espèce, la recourante était âgée de 55 ans en 2018, moment où l’existence d’une capacité de travail dans une activité adaptée a été reconnue. Cet élément seul ne suffit donc pas à nier le caractère exigible d’une reconversion professionnelle. Pour le surplus, il apparaît certes que l’intéressée ne dispose d’aucune formation professionnelle, tandis que son extrait de compte individuel AVS montre qu’elle a toujours travaillé pour le même employeur en Suisse. Toutefois, les limitations fonctionnelles attestées médicalement autorisent un large éventail d’activités qui ne nécessitent pas de formation particulière. La longue durée de son engagement auprès de son unique employeur en Suisse compense en outre l’absence d’autre expérience professionnelle. Enfin, le taux d’activité exigible reste suffisamment élevé pour ne pas constituer un frein en soi. Il y a dès lors lieu de considérer qu’un changement de profession est exigible de la recourante.</w:t>
      </w:r>
    </w:p>
    <w:p>
      <w:r>
        <w:rPr>
          <w:b/>
        </w:rPr>
        <w:t>E. 10</w:t>
      </w:r>
    </w:p>
    <w:p>
      <w:r>
        <w:t>Enfin, la recourante conteste le calcul du degré d’invalidité appliqué à compter du 1 er novembre 2018, en faisant valoir que le revenu avec invalidité doit tenir compte d’un abattement d’au moins 20 % sur le salaire statistique.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134 V 322 consid. 4.1 ; TF 9C_719/2015 du 3 juin 2016 consid. 6.2).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129 V 472 consid. 4.2.1 ; 126 V 75 consid. 3b ; 124 V 321 consid. 3b/aa).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consid. 4 et 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de qualification correspondant aux activités simples et répétitives dans les secteurs de la production et des services recouvre un large éventail d’activité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w:t>
      </w:r>
    </w:p>
    <w:p>
      <w:r>
        <w:rPr>
          <w:b/>
        </w:rPr>
        <w:t>E. 11</w:t>
      </w:r>
    </w:p>
    <w:p>
      <w:r>
        <w:t>a) En l’espèce, le droit à la rente est ouvert dès le 1 er septembre 2016 et l’octroi d’une rente entière jusqu’au 31 octobre 2018, exception faite de la suspension consécutive au versement d’indemnités journalières, n’est pas sujet à contestation. L’amélioration de la capacité de travail du 21 novembre 2016 au 23 mars 2017 n’aura en effet pas été durable. Ensuite, pour calculer le degré d’invalidité à compter de l’amélioration constatée en juillet 2018, l’intimé a déterminé le revenu sans atteinte à la santé en se fondant sur le salaire indiqué sur le formulaire rempli par l’employeur le 25 février 2016, soit (3587.05 x 13 =) 46'631 fr. 65, omettant toutefois son indexation, en l’occurrence de 0,4 % en 2017 et 0,5% en 2018 (Indice des salaires nominaux, femmes, 2016-2019, T1.2.15, OFS). Rapporté à un taux d’activité de 100 %, le revenu à prendre en considération s’élève ainsi à 65'350 fr. 40 (47'052 fr.27/72X100). b) En ce qui concerne le revenu avec l’atteinte à la santé, l’intimé s’est référé au salaire mensuel brut de référence ressortant des données statistiques ESS de l’année 2016, soit 4363 fr. pour un emploi à plein temps et 40 heures de travail par semaine (ESS 2016, TA1_skill_level, niveau de compétence 1 [correspondant aux tâches physiques ou manuelles simples]). Selon la jurisprudence (ATF 143 V 295 consid. 2.3), il convient cependant de se référer au revenu issu des données statistiques ESS les plus récentes, savoir 4'371 fr. en 2018. Ce montant rapporté à la durée normale du travail hebdomadaire dans les entreprises de 41.7 heures en 2018 (Durée normale du travail dans les entreprises selon la division économique, publiée par l’OFS), s’élève à 54'681 fr.21 par an. Rapporté au taux exigible de 75 %, le revenu statistique à prendre en compte est de 41'010 fr.91 par an. c) L’intimé a appliqué une réduction supplémentaire de 10 % sur le revenu statistique afin de tenir compte de l’âge et des années de service de la recourante, en ce sens qu’un changement d’employeur et de métier est généralement plus difficile pour les personnes âgées de plus de 50 ans et celles qui n’ont pas déjà expérimenté de tels changements dans leur carrière. La prise en compte de ces deux éléments est correcte. La recourante soutient qu’un abattement supplémentaire se justifie pour tenir compte des limitations fonctionnelles reconnues par le Dr G.________. En l’occurrence, les limitations d’ordre physique sont compatibles avec celles que la jurisprudence englobe dans le niveau de compétence 1 de l’ESS. Il ressort en effet du rapport d’examen du Dr G.________ que l’activité préconisée doit permettre une alternance des positions et ne pas comprendre de mouvements répétés en flexion-extension du tronc, de porte-à-faux prolongé ou de port de charge répété de plus de 5 kg, soit une activité légère à caractère principalement sédentaire offrant la liberté de changer de position. Ces limitations ne sont pas telles qu’elles entraveraient la capacité de gain de la recourante sur un marché du travail équilibré dans le niveau de compétence précité. Quant à la recommandation d’une pause plus importante en milieu de journée pour permettre à la recourante de soulager son dos, elle est déjà comprise dans la réduction de la capacité de travail de 25% et ne saurait être prise en considération une seconde fois en tant que facteur d’abattement sur le salaire statistique (TF 9C_677/2012 du 3 juillet 2013 consid. 2.2). En conséquence, un abattement plus important ne se justifie pas. Pour le surplus, les griefs de la recourante se rapportent à la situation concrète du marché du travail et non aux possibilités existantes dans un marché du travail équilibré, qui sont seules déterminantes en matière d’assurance-invalidité. Il en va de même des remarques soulevées par la Dre M.________ dans son courrier du 12 avril 2019. Dès lors, il apparaît que le revenu avec invalidité déterminant pour le calcul du degré d’invalidité s’élève à 36'909 fr. 82. Comparé au revenu sans invalidité, on constate que le préjudice économique pour la part active est de 28'440 fr. 58,  soit 43,52 %. d) Pour déterminer le taux final d’invalidité de la recourante, il y a lieu de rapporter le taux d’empêchement dans les activités habituelles et le préjudice économique dans la part active selon leur proportion réelle et de les additionner. En l’occurrence, pour les activités habituelles, l’empêchement est de (28 % x 24 % =) 6.72 % ; pour la part active, ce taux s’élève à (72 % x 43,52 % =) 31,33 %. Le taux final d’invalidité est dès lors de (6.72 + 31.33 =) 38,05 %, pourcentage qui n’ouvre pas le droit à une rente</w:t>
      </w:r>
    </w:p>
    <w:p>
      <w:r>
        <w:rPr>
          <w:b/>
        </w:rPr>
        <w:t>E. 12</w:t>
      </w:r>
    </w:p>
    <w:p>
      <w:r>
        <w:t>a) En définitive, le recours doit être rejeté. b)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 bis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