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167/10 - 20/2012 vom 16. Januar 2012</w:t>
      </w:r>
    </w:p>
    <w:p>
      <w:r>
        <w:t>VD Tribunal cantonal, 2012-01-16, FR</w:t>
      </w:r>
    </w:p>
    <w:p>
      <w:r>
        <w:rPr>
          <w:b/>
        </w:rPr>
        <w:t xml:space="preserve">Quelle: </w:t>
      </w:r>
      <w:r>
        <w:t>https://mcp.opencaselaw.ch/entscheid/vd_findinfo_AI_167_10_-_20_2012</w:t>
      </w:r>
    </w:p>
    <w:p>
      <w:r>
        <w:t>FR: VD_FINDINFO AI 167/10 - 20/2012 du 16 janvier 2012</w:t>
      </w:r>
    </w:p>
    <w:p>
      <w:r>
        <w:t>IT: VD_FINDINFO AI 167/10 - 20/2012 del 16 gennaio 2012</w:t>
      </w:r>
    </w:p>
    <w:p>
      <w:pPr>
        <w:pStyle w:val="Heading2"/>
      </w:pPr>
      <w:r>
        <w:t>Regeste</w:t>
      </w:r>
    </w:p>
    <w:p>
      <w:r>
        <w:t>AI{ASSURANCE}, RENTE{EN GÉNÉRAL} | 28 LAI, 4 LAI, 16 LPGA, 6 LPGA, 7 LPGA, 8 LPGA</w:t>
      </w:r>
    </w:p>
    <w:p>
      <w:pPr>
        <w:pStyle w:val="Heading2"/>
      </w:pPr>
      <w:r>
        <w:t>Erwägungen</w:t>
      </w:r>
    </w:p>
    <w:p>
      <w:r>
        <w:rPr>
          <w:b/>
        </w:rPr>
        <w:t>E. 1</w:t>
      </w:r>
    </w:p>
    <w:p>
      <w:r>
        <w:t>Diagnostics: • Statua après nécrose aseptique du semi-lunaire au poignet gauche. • Syndrome d’hyperpression cubitale sur cubitus long au poignet gauche. • Arthrose radio-cubitale inférieure débutante au poignet gauche.</w:t>
      </w:r>
    </w:p>
    <w:p>
      <w:r>
        <w:rPr>
          <w:b/>
        </w:rPr>
        <w:t>E. 2</w:t>
      </w:r>
    </w:p>
    <w:p>
      <w:r>
        <w:t>Symptômes actuels: Le patient ne présente pas de douleurs au repos. Le poignet gauche est douloureux à l’effort, en particulier lors des appuis en extension du poignet, ce qui peut entraîner un gonflement de celui-ci. De petits mouvements du poignet sans force peuvent parfois également provoquer des douleurs fugaces et une sensation de ressaut dans le poignet. Monsieur B.________ […] n’éprouve pas de difficultés dans les activités de la vie quotidienne. Dans le cadre de son travail, il évite les situations pouvant entraîner des vibrations dans son poignet, utilise parfois une attelle de soutien du poignet gauche et s’aide occasionnellement du pied pour stabiliser une pièce sur laquelle il doit travailler. Le patient ne mentionne pas de limitations fonctionnelles autres que le manque de force du poignet gauche.</w:t>
      </w:r>
    </w:p>
    <w:p>
      <w:r>
        <w:rPr>
          <w:b/>
        </w:rPr>
        <w:t>E. 3</w:t>
      </w:r>
    </w:p>
    <w:p>
      <w:r>
        <w:t>Cet état est-il vraisemblablement permanent? L’état actuel est très vraisemblablement permanent.</w:t>
      </w:r>
    </w:p>
    <w:p>
      <w:r>
        <w:rPr>
          <w:b/>
        </w:rPr>
        <w:t>E. 4</w:t>
      </w:r>
    </w:p>
    <w:p>
      <w:r>
        <w:t>Quelles sont les constatations objectives que vous pouvez faire sur les indications subjectives du patient? […] Les clichés radiologiques du poignet gauche du 14.05.2010 mettent en évidence un aspect hétérogène du semi-lunaire, avec en particulier une zone hypodense dans sa partie cubitale, en regard de la tête cubitale, laquelle est légèrement proéminente (cubitus long). La hauteur et la forme générale du semi-lunaire sont bien conservées. Minime arthrose proximale débutante au niveau de la radio-cubitale inférieure. IRM du 03.06.2010 : Les images de résonance magnétique confirment la présence d’un aspect hétérogène du semi-lunaire avec une zone d’inflammation active intra-spongieuse en regard de la tête ulnaire (prise de Gadolinium). Le semi-lunaire garde une forme normale. Comme l’indique le rapport du radiologue, ce bilan objective une ostéonécrose de stade Il du semi-lunaire n’ayant pas évolué par rapport au contrôle effectué en 2004. Il y a une bonne concordance entre les constatations objectives, les images radiologiques et les plaintes subjectives du patient.</w:t>
      </w:r>
    </w:p>
    <w:p>
      <w:r>
        <w:rPr>
          <w:b/>
        </w:rPr>
        <w:t>E. 5</w:t>
      </w:r>
    </w:p>
    <w:p>
      <w:r>
        <w:t>Sur le plan pratique, quelles sont les conséquences? Sur le plan pratique, le poignet gauche est utilisable sans dommage ni restriction dans les activités usuelles de la vie quotidienne (se nourrir, se vêtir, faire sa toilette, petit ménage ou bricolage,...). Le poignet doit par contre être ménagé dans les situations nécessitant de la force ou impliquant des vibrations directes ou indirectes.</w:t>
      </w:r>
    </w:p>
    <w:p>
      <w:r>
        <w:rPr>
          <w:b/>
        </w:rPr>
        <w:t>E. 6</w:t>
      </w:r>
    </w:p>
    <w:p>
      <w:r>
        <w:t>Estimez-vous qu’un usage intensif de sa main droite puisse amplifier les douleurs? Etre nuisible? Il est probable qu’un usage intensif de la main gauche puisse amplifier les douleurs et cela pourrait éventuellement entraîner une aggravation des lésions au sein du semi-lunaire.</w:t>
      </w:r>
    </w:p>
    <w:p>
      <w:r>
        <w:rPr>
          <w:b/>
        </w:rPr>
        <w:t>E. 7</w:t>
      </w:r>
    </w:p>
    <w:p>
      <w:r>
        <w:t>Sur le plan professionnel, peut-on considérer que le patient ne peut être engagé que pour l’usage de sa main droite? Non, la main et le poignet gauches sont utilisables, comme en témoigne d’ailleurs son activité actuelle.</w:t>
      </w:r>
    </w:p>
    <w:p>
      <w:r>
        <w:rPr>
          <w:b/>
        </w:rPr>
        <w:t>E. 8</w:t>
      </w:r>
    </w:p>
    <w:p>
      <w:r>
        <w:t>Estimez-vous que le patient puisse continuer son activité professionnelle antérieure de ferblantier? Oui, soit dans les conditions actuelles: Travail à 50%, selon accord avec son employeur.</w:t>
      </w:r>
    </w:p>
    <w:p>
      <w:r>
        <w:rPr>
          <w:b/>
        </w:rPr>
        <w:t>E. 9</w:t>
      </w:r>
    </w:p>
    <w:p>
      <w:r>
        <w:t>Pensez-vous que son employeur actuel fasse preuve de compréhension en continuant à employer le patient à 50% en qualité de ferblantier au vu de ses affections? Je ne poserais pas la question en ces termes: Son employeur actuel est satisfait de Monsieur B.________ car celui-ci lui apporte une expérience et des compétences dont il profite et qu’il exploite au mieux. Cela nécessite cependant un surplus d’organisation et d’aménagement, Monsieur B.________ devant être aidé et accompagné par un ouvrier ou un apprenti lorsqu’il est confronté à des travaux lourds.</w:t>
      </w:r>
    </w:p>
    <w:p>
      <w:r>
        <w:rPr>
          <w:b/>
        </w:rPr>
        <w:t>E. 10</w:t>
      </w:r>
    </w:p>
    <w:p>
      <w:r>
        <w:t>En vous fondant sur les dossiers de patients que vous avez suivis, pensez-vous qu’il puisse se réorienter professionnellement ou qu’il existe une activité adaptée à son état de santé? Compte tenu de la situation du patient, il est évident vu son âge et ses capacités qu’il est inapte à un quelconque reclassement. En termes assécurologiques, il y a exigibilité théorique à exercer une autre activité tenant compte des limitations fonctionnelles du poignet gauche de Monsieur B.________ ; d’un point de vue concret cependant - et cette différence est essentielle, cette exigibilité est nulle car inapplicable pratiquement. Son patron étant satisfait de Monsieur B.________ et ce dernier lui-même satisfait de son travail dans les conditions actuelles, je ne vois pas de raison ni médicale ni administrative de vouloir changer cette situation. De mon point de vue, une rente complémentaire devrait lui être versée par l’assurance invalidité, sur la base d’une incapacité de gain permanente de 50%." Le recourant produit en outre un nouvel onglet de pièces. d) Par duplique du 3 janvier 2011, l'OAI maintient sa position. Il relève que le rapport du Dr J.________ du 18 août 2010 ne fait pas état de limitations fonctionnelles plus importantes que celles précédemment retenues. Ce constat se limite à contester la possibilité de mettre concrètement en valeur la capacité de travail théorique existant dans une activité lucrative adaptée aux limitations fonctionnelles du recourant. Or, il n'appartient pas au médecin de se prononcer sur cette question.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l'occurrence, est litigieux le point de savoir si le recourant présente, en raison d'une atteinte à la santé, une diminution de sa capacité de travail et de sa capacité de gain susceptible de lui ouvrir le droit à des prestations de l'AI.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vertu de l'art. 28 al. 2 LAI (dont la teneur est identique à celle de l'ancien art. 28 al. 1 LAI en vigueur du 1 er janvier 2004 au 31 décembre 2007), l'assuré a droit à un quart de rente s'il est invalide à 40% au moins, à une demi-rente s'il est invalide à 50% au moins, aux trois-quarts d'une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8C_862/2008 du 19 août 2009, consid. 4.2;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 64; TF 8C_862/2008 du 19 août 2009, consid. 4.2).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Du reste, l’élément déterminant, pour la valeur probante, n’est ni l’origine du moyen de preuve, ni sa désignation comme rapport ou comme expertise, mais bel et bien son contenu (ATF 134 V 231, consid. 5.1; 125 V 351, consid. 3a; TF 9C_1023/2008 du 30 juin 2009, consid. 2.1.1). En particulier, le simple fait qu'un certificat médical est établi à la demande d'une partie ne justifie pas, en soi, des doutes quant à sa valeur probante; une expertise privée peut ainsi également valoir comme moyen de preuve (TF 9C_607/2008 du 27 avril 2009 consid. 3.2). En définitive,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(cf. TF 9C_268/2011 du 26 juillet 2011 consid. 6.1.2 et la jurisprudence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4. En l'occurrence, se fondant sur l'appréciation de la Dresse M.________ et du SMR, l'OAI retient que le recourant présente certes une incapacité de travail de 50% dans sa profession habituelle depuis le 2 mai 2005, mais qu'il conserve néanmoins une pleine capacité de travail dans une activité adaptée aux troubles affectant son poignet gauche. Le recourant, de son côté, conteste ce point de vue, se prévalant essentiellement du certificat médical du 9 décembre 2009 de son médecin traitant le Dr R.________ ainsi que des constatations du 18 août 2010 du Dr J.________. Il soutient plus particulièrement que son état de santé s'est dégradé depuis le dernier compte-rendu de la Dresse M.________. a) Dans un premier temps, aux termes de son rapport du 9 mai 2005, la Dresse M.________ a relevé que l'assuré se plaignait de douleurs en cas d'extension forcée du poignet ou de flexion contre résistance, que l'examen IRM démontrait l'existence d'une nécrose avasculaire du semi-lunaire se péjorant lentement, et que la capacité de travail de l'intéressé était de 50% dès le 1 er mai 2005, étant précisé que l'usage d'un poignet de cuir permettrait un travail léger. Puis, dans son rapport du 18 mai 2009, cette spécialiste a posé le diagnostic se répercutant sur la capacité de travail de séquelles de la maladie de Kienböck au niveau du poignet gauche. Elle a mentionné que l'assuré demeurait gêné par des douleurs déclenchées par l'effort ou éventuellement par des changements météorologiques, et qu'il manquait de force dans la main gauche. Ayant procédé à un nouvel examen radiologique faute de disposer des précédentes clichés réalisés sur l'assuré, elle a signalé qu'il n'y avait pas d'évolution vers une arthrose, que la vascularisation du semi-lunaire était finalement correcte, et que si des discordances existaient entre l'examen radiologique et les plaintes de l'assuré, ces dernières étaient toutefois crédibles en raison d'une discrète atrophie du membre supérieur gauche. Cela étant, elle a retenu que la profession habituelle l'intéressé était exigible à 50%, et que dans une activité adaptée, autrement dit légère, « la capacité de travail du patient serait totale » (cf. rapport du 18 mai 2009 p. 3 ch. 1.8). Il est vrai que dans son rapport du 18 mai 2009, la Dresse M.________ a signalé ne pas avoir eu accès aux précédentes radiographies de l'assuré. Cependant, rien au dossier n'indique que de nouveaux clichés auraient été réalisés depuis ceux mentionnés par cette même spécialiste dans son rapport du 9 mai 2005. Quoi qu'il en soit, il reste que la Dresse M.________ a fait effectuer un nouvel examen radiologique sur lequel elle a basé son appréciation, de sorte que l'on ne saurait lui reprocher de s'être prononcée sur la base de simples souvenirs, contrairement à ce qu'allègue le recourant (cf. mémoire de recours du 28 avril 2010 p. 7). En définitive, force est de constater que les rapports susmentionnés de la Dresse M.________ comportent une anamnèse circonstanciée, décrivent les plaintes subjectives de l'assuré, et contiennent des constatations médicales claires et objectives. Leurs conclusions sont exemptes de contradictions. Ces comptes-rendus doivent donc être considérés comme entièrement dignes de foi (cf. consid. 3c supra). b) De surcroît, le Dr P.________ a également retenu, dans son constat du 12 avril 2005, que l'assuré était à même d'exercer son activité habituelle à 50% depuis le 1 er mai 2005, au besoin en portant un « serre poignet en cuir », et qu'il pourrait le cas échéant mettre en œuvre une pleine capacité sur le marché du travail dans toute activité n'exigeant pas de sollicitations soutenues du poignet gauche. c) Quant aux médecins du SMR, ils se sont pour l'essentiel ralliés à l'appréciation de la Dresse M.________. Ainsi, par avis médical du 16 juin 2009, le Dr S.________ a adhéré aux conclusions de cette spécialiste, retenant que du fait des limitations fonctionnelles affectant sa main gauche, l'assuré disposait d'une capacité de travail de 50% dans son activité habituelle, et de 100% dans une activité adaptée ne comportant pas d'usage d'une machine vibrante de la main gauche, pas de serrage en force de la main gauche, pas de port de charge de plus de 10 kg de la main gauche, et pas de travail sur une échelle ou un échafaudage. Puis, par avis médical du 3 mars 2010, les Drs S.________ et N.________ ont maintenu ce même point de vue. Si, sur le fond, les médecins du SMR ont corroboré les conclusions de la Dresse M.________, ils ont cependant fait remonter l'exigibilité d'une activité lucrative au 2 mai 2005 (cf. avis du Dr S.________ du 16 juin 2009), alors même que l'ensemble des pièces médicales au dossier indique la date du 1 er mai 2005 (cf. notamment rapports des Drs M.________ [du 9 mai 2005 p. 2] et P.________ [du 12 avril 2005 p. 3]; cf. également feulle-accident LAA non datée, produite par l'assuré à l'appui de ses objections du 10 décembre 2009). C'est donc bien la date du 1 er mai 2005 qui doit être retenue en l'occurrence. d) Le recourant conteste l'appréciation des médecins précités, se prévalant notamment des conclusions des Drs R.________ et J.________. aa) Dans son compte-rendu du 24 janvier 2007, le Dr R.________ a exposé que l'assuré souffrait d'une atteinte incapacitante sous la forme d'une nécrose avasculaire du poignet gauche. Soulignant que l'intéressé était un travailleur qualifié occupant à satisfaction un poste à 50%, il a considéré que l'exercice d'autres activités n'était pas exigible. Hormis ces motifs de pure opportunité invoqués à l'encontre d'un changement de métier, le Dr R.________ n'a à proprement parler pas concrètement évalué la capacité de travail de l'assuré. Il s'ensuit que son rapport du 24 janvier 2007 ne saurait être déterminant dans le présent contexte. Aux termes d'un écrit du 9 décembre 2009, ce médecin a relevé, en trois lignes, que l'affection du poignet gauche de l'assuré empêchait l'exercice d'une quelconque activité – même adaptée – à plus de 50%. Ce faisant, le Dr R.________ n'a nullement exposé les raisons médicales concrètes à l'appui de son raisonnement. Autrement dit, ainsi que l'a souligné le Dr S.________ dans son avis médical SMR du 3 mars 2010, le médecin traitant s'est contenté de proposer, lapidairement et sans aucune motivation, une appréciation différente de la situation précédemment analysée par la Dresse M.________. Dans ces conditions, l'opinion divergente de ce praticien ne saurait l'emporter sur celle, plus circonstanciée, de la spécialiste précitée. Cela étant, il convient de relever ici que rien dans l'avis formulé par le Dr R.________ ne tend d'une quelconque manière à corroborer les dires du recourant selon lesquels son état de santé se serait dégradé depuis le rapport du 18 mai 2009 de la Dresse M.________. C'est donc en vain que l'intéressé s'est prévalu du contraire (cf. mémoire de recours du 28 avril 2010 p. 16). bb) S'agissant du constat du Dr J.________ du 18 août 2010, il appert que ce médecin y a diagnostiqué un status après nécrose aseptique du semi-lunaire gauche, un syndrome d'hyperpression cubitale sur cubitus long au poignet gauche, et une arhrose radio-cubitale inférieure débutante au poignet gauche. Se fondant sur des clichés radiologiques du 14 mai 2010 et une IRM du 3 juin 2010, il a précisé que l'arthrose de l'assuré était minime et que l'ostéonécrose n'avait pas évolué depuis 2004. Il a mentionné que le poignet gauche était douloureux à l'effort et que l'intéressé signalait un manque de force au niveau de cette articulation. Il n'en a pas moins retenu que tant la main que le poignet gauches du recourant étaient utilisables dans un cadre professionnel adapté, ainsi qu'en témoignait son emploi actuel. Il a ajouté que si, en termes assécurologiques, il y avait une exigibilité théorique à exercer une autre activité adaptée aux limitations fonctionnelles du poignet gauche, il restait que d'un point de vue concret, l'exigibilité était nulle car inapplicable pratiquement, l'intéressé étant, vu son âge et ses capacités, inapte au placement. Il est vrai que si le Dr J.________ a également constaté l'existence d'une ostéonécrose du semi-lunaire gauche à l'instar de la Dresse M.________, il a cependant diagnostiqué deux affections qui n'ont pas été retenues par cette dernière – à savoir un syndrome d'hyperpression cubitale sur cubitus long au poignet gauche, et une minime arhrose radio-cubitale inférieure débutante au poignet gauche. Le Dr J.________ s'est toutefois abstenu de préciser si ces deux affections influaient sur la capacité de travail de l'assuré. Or, les conclusions de ce médecin laissent à penser que tel n'est pas le cas. En effet, il a signalé des limitations fonctionnelles essentiellement identiques à celles relevées par la Dresse M.________ et le SMR (s'agissant en particulier du besoin de ménager le poignet gauche dans les situations nécessitant de la force ou impliquant des vibrations directes ou indirectes [cf. rapport du Dr J.________ du 18 août 2010 p.2, cf. avis SMR du Dr S.________ du 16 juin 2009, cf. rapport de la Dresse M.________ du 18 mai 2009 p. 3 ch. 1.7 et 1.8 et p. 4), considérant pour le surplus que l'assuré pouvait utiliser sa main et son poignet gauches dans un poste approprié, que l'activité habituelle était exigible à 50%, et qu'une activité adaptée était théoriquement exigible. Aussi, force est en définitive de constater que, sur le plan strictement médical, les constatations émises par le Dr J.________ rejoignent en substance celles formulées par la Dresse M.________. En revanche, à la différence de la spécialiste précitée, le Dr J.________ a retenu que l'on ne pouvait concrètement exiger de l'assuré qu'il mette en valeur sa pleine capacité de travail dans une activité adaptée, « vu son âge et ses capacités » (cf. rapport du 18 août 2010 p. 3), l'intéressé étant du reste satisfait de travailler comme ferblantier à 50% dans les conditions actuelles. Or, la tâche du médecin consiste à évaluer sur la base de critères objectifs et scientifiques l'état de santé de la personne assurée et à indiquer dans quelle proportion et dans quelles activités elle est incapable de travailler (cf. consid. 3b supra). C'est en revanche à l'administration qu'il revient d'examiner quelles possibilités de réadaptation concrètes existent pour l'assuré compte tenu de l'ensemble des circonstances, en particulier de ses caractéristiques physiques et psychiques ainsi que de sa situation professionnelle et sociale, considérées de manière objective (cf. TF I 778/05 du 11 janvier 2007 consid. 6.1 et 6.2). Cela étant, l'opinion du Dr J.________ sur une problématique ne relevant pas de l'analyse médicale stricte ne saurait être suivie. Dans ces conditions, il apparaît en définitive que les constatations du Dr J.________ ne sont pas susceptibles de mettre en doute l'appréciation de la Dresse M.________. cc) C'est par ailleurs en vain que l'assuré s'est prévalu de l'avis du Dr L.________ du 24 octobre 2006 (cf. réplique du 31 août 2010 p. 4). En effet, ce médecin y a certes signalé une incapacité de travail de 50% probablement définitive dans l'activité habituelle, mais il n'en a pas moins retenu que la capacité résiduelle de travail pourrait être plus haute dans une activité adaptée, position qui rejoint ainsi les conclusions de la Dresse M.________. d) En définitive, sur le vu de ce qui précède, il y a lieu de retenir que depuis le 1 er mai 2005, le recourant dispose d'une capacité résiduelle de travail de 50% dans son activité habituelle, et de 100% dans une activité adaptée à ses atteintes somatiques. Cela étant, la mise en œuvre d'une expertise médicale ou d'un stage de réadaptation – tels que requis subsidiairement par l'assuré à l'appui des conclusions de son recours (cf. mémoire de recours du 28 avril 2010 p. 23) – n'apparaît pas nécessaire dans la présente affaire, dans la mesure où les faits pertinents ont pu être constatés à satisfaction de droit (appréciation anticipée des preuves; ATF 122 II 464 consid. 4a, TF 8C_764/2009 du</w:t>
      </w:r>
    </w:p>
    <w:p>
      <w:r>
        <w:rPr>
          <w:b/>
        </w:rPr>
        <w:t>E. 12</w:t>
      </w:r>
    </w:p>
    <w:p>
      <w:r>
        <w:t>octobre 2009 consid. 3.2, TF 9C_440/2008 du 5 août 2008). 5. Au demeurant, bien que ce point ne soit pas contesté par les parties, il convient de relever que dans sa décision du 9 mars 2010, l'OAI a retenu que l'assuré avait présenté une incapacité de travail complète dans toute activité du 19 avril 2004 au 1 er mai (recte : 30 avril, cf. consid. 4c surpa) 2005. Or, une incapacité de travail d'au moins 40% durant plus d'une année peut théoriquement ouvrir le droit à une rente d'invalidité (cf. art. 29 al. 1 let. b LAI en vigueur du 1 er janvier 2004 au 31 décembre 2007, correspondant à l'actuel art. 28 al. 1 let. b LAI). Il n'en va cependant pas ainsi en l'occurrence, l'assuré ayant tardivement déposé sa demande de prestations AI le 1 er décembre 2006, si bien que d'éventuelles prestations ne pourraient être allouées qu'à compter du 1 er décembre 2005 (conformément à l'ancien art. 48 al. 2 LAI, en vigueur jusqu'au 1 er janvier 2008), date à laquelle l'intéressé avait toutefois récupéré une pleine capacité de travail dans une activité adaptée, ainsi qu'exposé au considérant 4 ci-avant. 6. Cela étant, il reste à déterminer le préjudice économique du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aa)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main-d’œuvre (Pratique VSI 6/1998 p. 296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I 175/04 du 28 janvier 2005 consid. 3; Pratique VSI 6/1999 p. 247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bb) En l'occurrence, on peut raisonnablement attendre du recourant qu'il reprenne à temps complet une activité adaptée à son état de santé, possibilité dont il dispose théoriquement sur un marché du travail équilibré (cf. consid. 6a/aa supra); il y est d'ailleurs tenu en vertu de son obligation de diminuer le dommage (cf. ATF 123 V 88 consid. 4c). Plus particulièrement, on rappellera que l'intéressé dispose d'une entière capacité de travail dans une activité industrielle légère adaptée aux limitations fonctionnelles affectant sa main gauche – dont il peut se servir dans un cadre professionnel adapté (cf. rapports des Drs M.________ [du 18 mai 2009 p. 3] et J.________ [du 18 août 2010 p. 2]). De surcroît, il ne saurait se prévaloir de la jurisprudence développée par le Tribunal fédéral en rapport avec les assurés proche de l'âge de la retraite (cf. TF 9C_695/2010 du 15 mars 2011 consid. 6.2; TF 9C_651/2008 du 9 octobre 2009 consid. 6.2.2.2, et, implicitement, TF 9C_835/2009 du 27 mai 2010 consid. 4.2), dès lors qu'au vu de son âge au moment de la décision litigieuse (57 ans), respectivement de l'ouverture éventuelle du droit à la rente (53 ans), il pouvait encore être exigé de lui qu'il trouve une profession adaptée à ses limitations fonctionnelles, conformément à son obligation de diminuer le dommage (ATF 123 V 230 consid. 3c et les références citées). Quant aux difficultés linguistiques invoquées par l'assuré (cf. mémoire de recours du 28 avril 2010 p. 21 et réplique du 31 août 2010 p. 8), elles ne peuvent être qualifiées d'éléments susceptibles d'influencer le degré d'invalidité (cf. consid. 6a/aa supra); de telles lacunes constituent certes un obstacle à la reprise d'une activité lucrative, mais ne sauraient signifier que l'intéressé n'est pas en mesure d'occuper un poste approprié à ses atteintes. Vu le large éventail d'activités simples et répétitives (qui correspondent à un emploi léger respectant les limitations fonctionnelles observées) que recouvre le marché du travail en général – et le marché du travail équilibré en particulier – (cf. TFA 383/06 du 5 avril 2005 consid. 4.4), il appert qu'un nombre significatif d'entre elles, ne nécessitant aucune formation spécifique, sont raisonnablement exigibles du recourant, quand bien même ce dernier a travaillé de nombreuses années dans le domaine de la ferblanterie sans acquérir d'expérience professionnelle dans d'autres secteurs. Au demeurant, ces activités sont, en règle générale, disponibles indépendamment de l'âge de la personne intéressée sur le marché équilibré du travail (TF 9C_646/2010 du 23 février 2011 consid. 4; C_657/2010 du 19 novembre 2010 consid. 5.2.3). Ainsi le recourant pourrait-il travailler par exemple au montage, contrôle ou surveillance d'un processus de production, comme ouvrier à l'établi dans des activités simples et légères, ou en tant qu'ouvrier de conditionnement (cf. rapport final de l'OAI du 27 octobre 2009 p. 5). C'est donc à tort que l'intéressé allègue qu'il n'existe aucune activité adaptée à son état de santé sur le marché du travail, respectivement qu'il prétend qu'il lui serait impossible de se réorienter professionnellement (cf. mémoire de recours du 28 avril 2010 p. 14 ss). b)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(ATF 134 V 322, consid. 5.2;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citées; voir également TFA I 848/05 du 29 novembre 2006, consid. 5.3.3). c) En l'espèce, il convient de se placer au moment de la naissance du droit éventuel à la rente pour procéder à la comparaison des revenus, soit en l'occurrence 2005 (en application de l'ancien art. 48 al. 2 LAI, cf. consid. 5 supra). aa) S'agissant du revenu sans invalidité, le recourant ne conteste pas le montant de 71'113 fr. retenu par l'OAI, correspondant au revenu annuel réalisé en 2004 par l'assuré auprès de l'entreprise L.________ SA, après indexation à 2005 (cf. détail du calcul du salaire exigible établi par l'intimé le 27 octobre 2009). bb) Pour ce qui est du revenu avec invalidité, il y a tout d'abord lieu de relever que s'il est vrai que celui-ci doit être évalué avant tout en fonction de la situation professionnelle concrète de l'intéressé, il n'en demeure pas moins que la prise en compte, dans la comparaison des revenus, d'un salaire provenant de la reprise d'une activité lucrative après la survenance de l'atteinte à la santé est subordonnée à certaines conditions cumulatives, à savoir : des rapports de travail particulièrement stables, une activité mettant pleinement en valeur la capacité de travail résiduelle exigible et, enfin, un gain correspondant au travail effectivement fourni (ATF 126 V 76 consid. 3b/aa, 117 V 18 consid. 2c/aa et les références). Or, force est de constater qu’en l'occurrence, le recourant ne remplit pas ces conditions, puisqu'il a choisi de travailler à 50% comme ferblantier plutôt que de mettre pleinement en valeur son entière capacité de gain dans une activité adaptée. On ne saurait dès lors se fonder sur son salaire effectif pour calculer le revenu d’invalide (contrairement à ce qu'il prétend, cf. réplique du 31 août 2010 p. 7s.). Dans ces conditions, il y a lieu de se référer aux données statistiques ressortant de l'ESS. Cela étant, la Cour de céans constate que l'office intimé s'est fondé sur les données de l'ESS de 2005, alors même qu'aucune enquête n'existe pour l'année en question. Il y a donc lieu de se fonder sur le salaire ressortant de l’ESS de 2004, lequel prévoit, pour des assurés effectuant des activités simples et répétitives dans le secteur privé (production et services), un salaire de 4'588 fr. par mois, part au treizième salaire comprise (ESS 2004, TA1, niveau de qualification 4). Ce salaire représente – compte tenu du fait que les salaires bruts standardisés se basent sur un horaire de travail de quarante heures, soit une durée hebdomadaire inférieure à celle prévalant dans les entreprises en 2005 (41,6 heures [La Vie économique 12-2006, p. 82, tableau B9.2]) – un revenu d’invalide de 4'771 fr. 52 par mois (4'588 x 41.6 : 40 heures), soit 57'258 fr. 24 par année. Compte tenu de l’évolution moyenne des salaires de 2004 à 2005 (+1% [La Vie économique 12-2006, p. 83, tableau B.10.2]), le salaire est de 57'830 fr. 82. A ce montant, il convient encore d’appliquer un facteur de réduction, que l'intimé a fixé en l'espèce à 15% au vu des spécificités du cas d'espèce. Cet abattement tient dûment compte des limitations fonctionnelles somatiques du recourant (affectant exclusivement sa main gauche), de son âge (cf. à cet égard consid. 6a/bb supra), et des paramètres liées à ses années de service auprès de l'entreprise Q.________ SA. A cela s'ajoute que l'intéressé ne présente pas de limitations supplémentaires liées au taux d'occupation ou à la nationalité, dès lors qu'il dispose d'une pleine capacité de travail dans une activité adaptée et qu'il vit en Suisse depuis 1979 et est titulaire d'une autorisation d'établissement. Il résulte de ce qui précède qu'en retenant un taux d'abattement de 15% sur le revenu d'invalide, l'administration n'a nullement outrepassé les limites de son pouvoir d'appréciation, de sorte qu'il n'existe aucun motif pertinent de s'en écarter. Après comparaison du revenu d'invalide (49'156 fr. 19) avec celui sans invalidité (71'113 fr.), il résulte une perte de gain de 21'956 fr. 81 correspondant à un degré d’invalidité de 30.87% (21'956 fr. 81 / 71'113 fr. x 100). Conformément à la jurisprudence (ATF 130 V 121 consid. 3.2), ce taux doit être arrondi à 31%. Inférieur à 40%, il n’ouvre toutefois pas le droit à une rente AI (cf. consid. 3a supra). A noter que même en tenant compte d'un abattement de 25% sur le revenu d'invalide, tel que préconisé par le recourant (cf. mémoire de recours du 28 avril 2010 p. 22 et réplique du 31 août 2010 p. 8), la comparaison du revenu avec et sans invalidité (de respectivement 43'373 fr. 115 et 71'113 fr.) aboutirait à une perte de gain de 27'739 fr. 885, correspondant à un degré d'invalidité de 39% (27'739 fr. 885 / 71'113 fr. x 100), toujours inférieur au seuil de 40% précité. d) Au vu de ce qui précède, la Cour de céans doit constater, à l'instar de l'office intimé, que le degré d'invalidité du recourant est insuffisant pour ouvrir le droit à une rente d'invalidité depuis le 1 er décembre 2005 (en application de l'ancien art. 48 al. 2 LAI en vigueur jusqu'au 31 décembre 2007 [cf. consid. 5 supra]). 7. Le recourant ne conclut certes pas à l'octroi de mesures professionnelles. Cependant, son taux d'invalidité de 30.87% pourrait théoriquement lui ouvrir le droit à des telles mesures. Toutefois, ces dernières ne sont pas allouées si elles sont vouées à l'échec, selon toute vraisemblance (TF I 95/07 du 15 février 2008 consid. 4.3 ; TF I 938/06 du 29 octobre 2007 consid. 4.1 ; TF I 170/06 du 16 février 2007 consid. 3.2); en effet, le droit à une mesure de réadaptation déterminée suppose qu'elle soit appropriée au but de la réadaptation poursuivi par l'AI tant objectivement en ce qui concerne la mesure, que sur le plan subjectif en ce qui concerne la personne de l'assuré (TF 9C_386/2009 du 1 er février 2010 consid. 2.4; 9C_420/2009 du 24 novembre 2009 consid. 5.4 ; TFA I 268/03 du 4 mai 2004 consid. 2.2; VSI 2002 p. 112 consid. 2 et les références). En l'occurrence, il ressort du rapport final de l'OAI du 27 octobre 2009 (p. 5) que « [d]u fait de [l]a faible intégration linguistique [de l'assuré], de ses capacités d'adaptation et d'apprentissage limitées et de son faible niveau scolaire, des mesures professionnelles ne sont pas envisageables et ne permettraient pas de réduire le préjudice économique ». On peut en déduire que des mesures d'ordre professionnel auraient vraisemblablement été vouées à l'échec, si bien qu'elles n'auraient pas eu lieu d'être. Tout au plus sied-il de rappeler qu'aux termes du projet de décision du 6 novembre 2009, l'OAI a informé l'assuré qu'il était mis au bénéfice d'une aide au placement, et qu'il lui était loisible de requérir la mise en œuvre de cette mesure au moyen d'un formulaire annexé au projet de décision. Cela étant, l'office n'avait dès lors pas à rappeler cette faculté dans la décision du 9 mars 2010. C'est dès lors en vain que l'intéressé prétend, dans son mémoire de recours du 28 avril 2010 (p. 12), que l'intimé a « purement et simplement supprimé » cette mesure en s'abstenant d'y référer dans la décision litigieuse. 8. a) Il résulte de ce qui précède que le recours, mal fondé, doit être rejeté et la décision attaquée confirmée, en ce sens que le recourant n'a pas droit à une rente d'invalidité. b) En dérogation à l'art. 61 let. a LPGA, la procédure de recours en matière de contestations portant sur l'octroi ou le refus de prestations de l'AI devant le tribunal cantonal des assurances est soumise à des frais de justice. En principe, la partie dont les conclusions sont rejetées supporte les frais de procédure (art. 69 al. 1bis LAI et 49 al. 1 LPA-VD). Le montant des frais est fixé en fonction de la charge liée à la procédure, indépendamment de la valeur litigieuse, et doit se situer entre 200 et 1'000 francs (art. 69 al. 1 bis LAI). aa) En l'espèce, compte tenu de l'ampleur de la procédure, les frais de justice doivent être arrêtés à 400 fr. bb) Le recourant a toutefois été mis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en tenant compte des montants éventuellement payés à titre de franchise depuis le début de la procédure. L’indemnité due au conseil d’office porte sur les opérations nécessaires à la conduite de la procédure elle-même, et qui entrent de surcroît dans le cadre temporel fixé par la décision d’octroi. En l'occurrence, Me Chevalley a produit le 11 août 2011 la liste de ses opérations correspondant à 26 heures et 15 minutes de travail, dont 20 minutes pour le poste « conférences », 10 heures 50 pour le poste « procédures », et 15 heures 05 pour le poste « téléphones, courriers ». Cette liste a été contrôlée au regard de la procédure et doit être réduite pour les raisons qui suivent. S'agissant du poste « procédures », il appert que le temps réputé consacré à la rédaction de la réplique (en tout 5 heures 10) est excessif, dès lors que cette écriture se borne à reprendre en substance l'argumentation du recours tout en citant pour le surplus des extraits du rapport du Dr J.________ du 18 août 2010 et en se référant du reste au salaire effectivement réalisé par le recourant. Cela étant, il apparaît que pour l'ensemble de ce poste, une durée globale de 8 heures – dont 1 heure en 2012, et le surplus en 2010 – semble largement suffisante. Pour le poste « téléphones, courriers », il convient tout d'abord de relever que l'on ne peut suivre Me Chevalley lorsqu'il mentionne une durée totale de 2 heures 30 pour la rédaction du mémoire de recours le 26 avril 2010 (cf. liste du 11 août 2011 p. 2), alors même que cette opération a déjà été prise en compte dans le poste « procédures » (1 heure 25 le 27 avril 2010 [cf. ibid. p.1]). Il faut par ailleurs relever le caractère excessif du temps annoncé pour la rédaction des listes de questions à poser au Dr J.________, soit 2 heures 30, alors même que le formulaire remis à ce médecin en août 2010 tient sur 3 pages et ne comporte que 10 questions. De surcroît, il convient de relever que Me Chevalley fait état de diverses prises de contact « avec un tiers » ou « une autorité », ainsi qu'avec le Bureau de l'assistance judiciaire, le présent du tribunal, les Drs R.________ et J.________, son client et le CASS, pour une durée globale d'environ 12 heures, qui paraît elle aussi excéder les besoins de la procédure. C'est pourquoi il s'impose ici également de réduire la durée des opérations annoncées, et de prendre en compte une durée globale de 6 heures 30, dont 5 heures 30 en 2010 et 1 heure en 2011. Cela étant, il y a lieu de retenir une durée totale de 14 heures 50 de travail à un tarif horaire de 180 fr. (art. 2 al. 1 let. a RAJ [règlement du 7 décembre 2010 sur l'assistance judiciaire en matière civile; RS 211.02.3]), qui se décomposent en 12 heures 50 jusqu'au 31 décembre 2010, 1 heure pour 2011 et 1 heure en 2012. En tenant compte d'un taux de TVA de 7,6 % jusqu'au 31 décembre 2010 et de 8% dès 2011, le montant des honoraires est de 2'485 fr. 56 pour 2010, de 194 fr. 40 pour 2011, et de 194 fr. 40 en 2012, soit au total 2'874 fr 36. Au demeurant, l'avocat d'office a droit au remboursement de tous les débours qui s'inscrivent raisonnablement dans l'exécution de sa tâche (ATF 122 I 1). En l'absence de liste des débours, l'avocat d'office du recourant a droit pour ses débours à une indemnité forfaitaires de 100 fr. (art. 3 al. 3 RAJ), plus 8 fr. de TVA (art. 2 al. 3 RAJ). Le montant total de l'indemnité d'office s'élève donc à 2'982 fr. 36 (2'874 fr. 36 + 108 fr.), que l'on peut arrondir à 2'983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