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14/15 - 7/2016 vom 11. Januar 2016</w:t>
      </w:r>
    </w:p>
    <w:p>
      <w:r>
        <w:t>VD Tribunal cantonal, 2016-01-11, FR</w:t>
      </w:r>
    </w:p>
    <w:p>
      <w:r>
        <w:rPr>
          <w:b/>
        </w:rPr>
        <w:t xml:space="preserve">Quelle: </w:t>
      </w:r>
      <w:r>
        <w:t>https://mcp.opencaselaw.ch/entscheid/vd_findinfo_AI_14_15_-_7_2016</w:t>
      </w:r>
    </w:p>
    <w:p>
      <w:r>
        <w:t>FR: VD_FINDINFO AI 14/15 - 7/2016 du 11 janvier 2016</w:t>
      </w:r>
    </w:p>
    <w:p>
      <w:r>
        <w:t>IT: VD_FINDINFO AI 14/15 - 7/2016 del 11 gennaio 2016</w:t>
      </w:r>
    </w:p>
    <w:p>
      <w:pPr>
        <w:pStyle w:val="Heading2"/>
      </w:pPr>
      <w:r>
        <w:t>Regeste</w:t>
      </w:r>
    </w:p>
    <w:p>
      <w:r>
        <w:t>DEVOIR DE COLLABORER, MESURE D'INSTRUCTION{ASSURANCE SOCIALE}, ABSENCE INJUSTIFIÉE, REJET DE LA DEMANDE | 28 LAI, 4 LAI, 28 LPGA, 43 LPGA, 6 LPGA, 7 LPGA, 8 LPGA</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L'art.</w:t>
      </w:r>
    </w:p>
    <w:p>
      <w:r>
        <w:rPr>
          <w:b/>
        </w:rPr>
        <w:t>E. 8</w:t>
      </w:r>
    </w:p>
    <w:p>
      <w:r>
        <w:t>al. 1 LAI pose le principe de l'octroi, en faveur des assurés invalides ou menacés d'une invalidité imminente, de mesures de réadaptation nécessaires et de nature à rétablir leur capacité de gain, à l'améliorer ou à la sauvegarder. Selon l'art. 8 al. 3 let. b LAI, les mesures de réadaptation comprennent les mesures d'ordre professionnel au sens de l'art. 15 à 18 LAI. Le seuil minimum fixé par la jurisprudence pour l'ouverture du droit à des mesures de réadaptation d'ordre professionnel est une diminution de la capacité de gain de 20% environ (ATF 130 V 488 consid. 4.2 et 124 V 108 consid. 2b ; TF 8C_36/2009 du 15 avril 2009 consid. 4, 9C_818/2007 du 11 novembre 2008 consid. 2.2).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9C_83/2013 du 9 juillet 2013 consid. 4.2,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9C_58/2013 du 22 mai 2013 consid. 3.1, I 562/06 du 25 juillet 2007 consid. 2.1 et TFA I 274/05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5. a) En l'espèce, la Dresse V.________, psychiatre traitante de la recourante depuis 2010, a posé les diagnostics de trouble de la personnalité émotionnellement labile, type borderline, existant depuis le début de l'âge adulte, et de consommation épisodique d'alcool, cannabis, cocaïne et kétamine. Elle a estimé que sa patiente était en mesure de reprendre une activité professionnelle à 50% dès octobre 2013 moyennant le respect de nombreuses limitations fonctionnelles d'un point de vue psychique, à savoir par exemple d'éviter les tâches complexes ou impliquant du stress (cf. rapport du 9 septembre 2013). Quant à la Dresse H.________, médecin traitant de la recourante depuis 2013, elle a posé le diagnostic avec effet sur la capacité de travail d'état dépressif existant depuis 2008. Une reprise de l'activité professionnelle à 50% lui semblait également envisageable (cf. rapport du 10 octobre 2013). Si les Dresses V.________ et H.________ s'accordent sur la possibilité d'une reprise partielle de l'activité professionnelle, elles ont en revanche posé des diagnostics différents, à savoir celui de trouble de la personnalité (par la psychiatre traitante) et d'état dépressif (par le médecin traitant, non spécialiste). La Dresse H.________ retenait que le pronostic était bon, alors que selon la Dresse V.________ le pronostic était réservé. On note en outre que la Dresse H.________ suivait la recourante depuis août 2013 seulement. Elle mentionnait en effet dans son rapport du 10 octobre 2013 à l'OAI qu'elle connaissait la patiente depuis peu et qu'elle avait semble-t-il essentiellement des troubles psychiques. En conséquence, les deux seuls rapports médicaux au dossier ne permettent pas de se prononcer en toute connaissance de cause sur le droit litigieux, à savoir les atteintes de la recourante, leur influence sur sa capacité de travail et ses limitations fonctionnelles. Dans ces circonstances, c’est à juste titre que l’intimé, se fondant sur l’avis du SMR du 30 janvier 2014, est parvenu à la conclusion que le dossier n'était pas suffisamment instruit et qu’une évaluation médicale était justifiée (cf. communication de l'OAI du 9 mai 2014). L’intimé a considéré que cette mesure d'instruction avait été refusée de manière inexcusable par la recourante, laquelle ne pouvait invoquer un empêchement d’ordre médical responsable de son manque de collaboration à l’instruction de son dossier. b) Il n’y a pas lieu d’examiner si le premier empêchement de la recourante concernant le rendez-vous du 10 septembre 2014 était excusable ou non dans la mesure où l’intimé a été d’accord de reprendre l’instruction suite aux explications que l'intéressée a fournies le 8 octobre 2014. c) S’agissant du deuxième empêchement, soit celui en lien avec le nouveau rendez-vous fixé au 20 septembre 2014, il sied tout d’abord de relever que la lettre du 14 octobre 2014 de l’OAI priant le Dr B.________ de fixer un nouveau rendez-vous n’a pas été adressée à la recourante. Cette dernière n’a en effet reçu à la même date qu’un courrier lui annonçant que l'intimé allait examiner les arguments qu’elle avançait dans son courrier du 8 octobre 2014 et qu’elle en serait tenue informée dès que possible. Ayant eu connaissance du fait que la recourante n’avait pas contacté le Dr B.________, l’intimé l’a, par courrier recommandé du 30 octobre 2014, sommée de confirmer jusqu’au 6 octobre 2014 (sic) au plus tard, son rendez-vous du 20 novembre 2014 auprès de l’expert tout en la rendant attentive aux conséquences d’un refus. Dans le cadre de la décision litigieuse, l’intimé a conclu que la recourante n’y avait pas donné suite. Il ressort toutefois des documents annexés par le Dr B.________ à son courrier du 21 novembre 2014 adressé à l’OAI, une lettre signée par la recourante qui confirmait sa venue à la « convocation de la consultation pour l’expertise » prévue le 20 novembre 2014. Certes, le jour même de l’expertise, la recourante a allégué qu’elle était malade ce qui l’empêchait de se rendre au rendez-vous fixé. L’intimé a déduit de ces faits ainsi que de l'absence de la recourante au rendez-vous de l'expert le 20 novembre 2014 qu'elle avait violé son obligation de collaborer. Or, au moment où il a rendu sa décision du 2 décembre 2014, l’intimé était en possession de la lettre de l’expert du 21 novembre 2014 qui relatait le message vocal de la recourante. L’intimé connaissait par conséquent les raisons pour lesquelles l'intéressée avait demandé l'annulation du rendez-vous et n'avait pas été en mesure de répondre positivement à la convocation du Dr B.________. Il n’a toutefois pas semblé nécessaire à l’intimé de demander à la recourante de prouver la réalité de sa maladie avant de rendre moins de deux semaines plus tard la décision litigieuse. Dans le cadre de sa duplique du 7 septembre 2015, l’intimé a estimé que l’empêchement médical de l’assurée n’était pas « crédible » et « à supposer qu’il ait existé, n’a vraisemblablement pas pu influencer le comportement de cette dernière sur toute la période de six mois pendant laquelle notre Office a tenté vainement de mettre en place l’expertise psychiatrique auprès du Dr. B.________ » . d) aa) Après examen de l’ensemble du dossier, l’autorité de céans retient que s’il est exact que la collaboration de la recourante dans le processus d’expertise n’est pas irréprochable, il doit être constaté qu’elle n'a jamais formellement refusé de se soumettre à l’instruction complémentaire de son dossier, respectivement à l'expertise psychiatrique exigée par l’intimé. Quoiqu’en dise l’intimé, la recourante y a participé en ce sens qu’elle a confirmé à l’expert sa présence à la convocation d’expertise, comme l’intimé l’avait sommée de le faire par courrier du 30 octobre 2014. Il y a lieu de relever que la recourante a toujours participé à la procédure en fournissant les renseignements demandés, certes parfois tardivement. Enfin, il convient de noter que la recourante a sollicité le 5 juin 2013 une mesure de curatelle, laquelle lui a été octroyée le 26 mai 2015 et que plusieurs démarches (notamment dépôt d'un formulaire de détection précoce le 23 janvier 2013, demande d'information à l'OAI du 25 mars 2013, demande d'exemption d'avances de frais à la Cour de céans du 6 mars 2015) ont été, à l'époque, effectuées par l'assistante sociale de la recourante, ce dont l'intimé avait connaissance, éléments qui confirment que l'intéressée avait de la peine à gérer administrativement ses affaires. bb) De surcroît, l’absence ultérieure de la recourante dûment annoncée à l’expert ne peut sans autre lui être reprochée sans tenir compte de l’état clinique qu’elle présentait. En effet, rappelons que selon sa psychiatre traitante, la recourante était atteinte d'un trouble de la personnalité émotionnellement labile, type bordeline, avec consommation épisodique d'alcool, de cannabis, cocaïne et kétamine. Elle présentait également une humeur dépressive. La recourante avait de la peine à respecter le cadre du suivi, lequel était marqué par une instabilité psychique régulière dans différents domaines (affectif, familial, économique), et elle était très sensible aux situations d'insécurité affective ou administrative source de décompensation psychique. Dans son courrier du 30 juillet 2015 au conseil de la recourante, la Dresse V.________ a mentionné que sa patiente avait de la peine avec le suivi thérapeutique, ainsi qu'avec d'autres obligations telles que les rendez-vous avec les personnes du social, du service de protection de la jeunesse ou même la rencontre du réseau de soin. Les raisons invoquées étaient soit la prise de médicaments en lien avec ses difficultés de sommeil, soit l'angoisse et l'humeur dépressive. Typiquement, la recourante n'avait pas donné suite aux deux rendez-vous du Dr B.________ car elle se trouvait dans une période critique de sa vie où elle buvait beaucoup d'alcool et fumait beaucoup, était déprimée et ne se sentait pas en mesure d'aller seule aux rendez-vous. Elle était particulièrement stressée à l'idée de rencontrer l'expert AI. cc) Dans ces conditions, l’intimé ne pouvait pas retenir un refus fautif de collaborer et prendre les sanctions prévues dans un tel cas, sans s'assurer que l'excuse présentée n'était pas valable. Partant, on ne saurait retenir que la recourante a refusé de façon inexcusable de collaborer avec l’intimé de sorte que ce dernier n'était pas fondé à faire usage des sanctions prévues à l'art. 43 al. 3 LPGA. 6. Au vu de ce qui précède, le recours est admis et la décision dont est recours annulée, la cause étant renvoyée à l'intimé, afin qu'il reprenne l'instruction du dossier et mette en œuvre une expertise psychiatrique. 7. a)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b) La recourante, qui obtient gain de cause, a droit à des dépens (art. 61 let. g LPGA), qu'il convient d'arrêter à 800 fr., Me Agier étant intervenu au stade de la réplique. Ils sont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