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149/09 - 131/2011 vom 17. März 2011</w:t>
      </w:r>
    </w:p>
    <w:p>
      <w:r>
        <w:t>VD Tribunal cantonal, 2011-03-17, FR</w:t>
      </w:r>
    </w:p>
    <w:p>
      <w:r>
        <w:rPr>
          <w:b/>
        </w:rPr>
        <w:t xml:space="preserve">Quelle: </w:t>
      </w:r>
      <w:r>
        <w:t>https://mcp.opencaselaw.ch/entscheid/vd_findinfo_AI_149_09_-_131_2011</w:t>
      </w:r>
    </w:p>
    <w:p>
      <w:r>
        <w:t>FR: VD_FINDINFO AI 149/09 - 131/2011 du 17 mars 2011</w:t>
      </w:r>
    </w:p>
    <w:p>
      <w:r>
        <w:t>IT: VD_FINDINFO AI 149/09 - 131/2011 del 17 marzo 2011</w:t>
      </w:r>
    </w:p>
    <w:p>
      <w:pPr>
        <w:pStyle w:val="Heading2"/>
      </w:pPr>
      <w:r>
        <w:t>Regeste</w:t>
      </w:r>
    </w:p>
    <w:p>
      <w:r>
        <w:t>MÉTHODE MIXTE D'ÉVALUATION, ACTIVITÉ LUCRATIVE À TEMPS PARTIEL, FEMME AU FOYER, ÉVALUATION DE L'INVALIDITÉ | 28 LAI, 4 LAI</w:t>
      </w:r>
    </w:p>
    <w:p>
      <w:pPr>
        <w:pStyle w:val="Heading2"/>
      </w:pPr>
      <w:r>
        <w:t>Volltext</w:t>
      </w:r>
    </w:p>
    <w:p>
      <w:r>
        <w:t>Vaud Tribunal cantonal Cour des assurances sociales 17.03.2011 AI 149/09 - 131/2011</w:t>
      </w:r>
    </w:p>
    <w:p>
      <w:r>
        <w:t>MÉTHODE MIXTE D'ÉVALUATION, ACTIVITÉ LUCRATIVE À TEMPS PARTIEL, FEMME AU FOYER, ÉVALUATION DE L'INVALIDITÉ | 28 LAI, 4 LAI</w:t>
      </w:r>
    </w:p>
    <w:p>
      <w:r>
        <w:t>TRIBUNAL CANTONAL AI 149/09-131/2011 COUR DES ASSURANCES SOCIALES _____________________________________________ Arrêt du 17 mars 2011 __________________ Présidence de               M. Neu Juges :              M. Jomini et Mme Röthenbacher Greffière :              Mme Berberat ***** Cause pendante entre : J.________ , à [...], recourante, et OFFICE DE L'ASSURANCE-INVALIDITE POUR LE CANTON DE VAUD , à Vevey, intimé. _______________ Art. 4 et 28 LAI E n  f a i t : A. a) J.________, née en 1959, mariée et mère de deux enfants, nés en 1980 (décédé en 2000) et 1990, est sans activité lucrative depuis 1986. Son époux est au bénéfice d'une rente entière d'invalidité (70 %) depuis 1993, mais exerce une activité adaptée auprès de N.________ à [...]. La prénommée a déposé le 7 août 2007 une demande de prestations AI auprès de l'Office de l'assurance-invalidité pour le canton de Vaud (OAI) tendant à l'octroi d'une rente en raison d'une hernie discale présente depuis 2005, de fibromyalgie présente depuis 2006 et d'un diabète présent depuis 2001-2002. Dans un rapport médical du 24 août 2007, le Dr W.________, spécialiste FMH en rhumatologie, a estimé que les diagnostics de rachialgies sur troubles statiques, séquelles d'une maladie de Scheuermann, discopathies lombaires avec petite hernie discale L5-S1 paramédiane droite et de fibromyalgie avaient des répercussions sur la capacité de travail de l'assurée. Par contre, le diabète non insulinodépendant, l'hypertension et l'état anxio-dépressif consécutif au décès du fils en 2000 n'avaient aucune influence sur la capacité de travail de l'intéressée. Le Dr W.________ n'a attesté aucune incapacité de travail, en précisant ce qui suit : "Je me réfère à mon rapport du 28 mars 2006. J'ai retéléphoné à la patiente le 22 août 2007. La demande de rente actuelle a été formulée en raison de diminution de prestations perçues de l'AI par l'époux, Mme J.________ souhaitant, comme son époux, travailler 3 jours par semaine à N.________, ce qui nécessiterait une rente ? La patiente n'a pas de formation, elle n'a jamais travaillé depuis plus de 30 ans. A ses dires, ses douleurs rachidiennes sont fluctuantes, elles nécessitent la prise de Co-Dafalgan épisodiquement. Elle peut marcher sans trop de difficultés. A mon sens, et si je me réfère à mon examen de 2006, je ne pense pas que les substrats organiques décelés et les limitations fonctionnelles somme toute modestes retentissent significativement sur une capacité de travail dans une activité adaptée où la patiente pourrait changer de posture et ne devrait pas porter des charges lourdes. Le problème social et professionnel (recherche difficile d'un emploi dans la région) semble au premier plan. Il n'y a certainement pas d'indication pour un reclassement professionnel puisqu'il n'y a pas de formation mais peut-être que l'AI pourrait aider Mme J.________ dans sa recherche d'un emploi adapté, peut-être même à N.________ selon ses souhaits?" Dans son rapport du 28 mars 2006 adressé au Dr G.________, spécialiste FMH en médecine générale et médecin traitant de l'intéressée, le Dr W.________ indiquait avoir reçu l'assurée en consilium à la même date et faisait part de son appréciation quant aux différentes atteintes qu'elle présentait. Dans un rapport médical du 24 août 2008, le Dr G.________ a posé les diagnostics ayant des répercussions sur la capacité de travail de fibromyalgie, d'état dépressif, de troubles anxieux et de lombo-sciatalgies. Il a considéré que les diagnostics de diabète insulinodépendant et d'hyperandrogénisme sur probable syndrome des ovaires polykystiques n'avaient aucune influence sur la capacité de travail de sa patiente. Il a toutefois indiqué qu'il lui était très difficile d'évaluer son incapacité de travail actuelle, se limitant à préciser que l'assurée devait éviter les travaux lourds. A cette occasion, il a transmis les rapports médicaux du 5 juin 2007 du Dr D.________, spécialiste FMH en médecine interne, endocrinologie-diabétologie, des 25 février et 21 novembre 2005 de la Dresse K.________, spécialiste FMH en neurologie, ainsi que du 22 novembre 2004 de la Dresse C.________, spécialiste FMH en psychiatrie et psychothérapie, qui a fait état d'un trouble anxieux et dépressif mixte (F 41.2), d'un probable retard mental léger (F 70) et de difficultés dans le rapport avec le conjoint (Z 63.0). Dans un rapport médical du 29 août 2007, le Dr D.________ a retenu que les diagnostics d'état anxio-dépressif, de diabète type 2 / syndrome métabolique et de syndrome des ovaires polykystiques notamment avaient des répercussions sur la capacité de travail de sa patiente. Il a estimé que des activités régulières, sans efforts physiques ni contraintes psychiques par exemple à 50 %, étaient envisageables selon l'évolution des pathologies. Le 4 septembre 2007, l'assurée a rempli un complément à sa demande de prestations AI en déclarant qu'en bonne santé, elle aurait travaillé dès 2005 à 50 % en qualité d'aide de cuisine ou ménage et ce, par nécessité financière (formulaire 531 bis). L'OAI a également mis en œuvre une enquête économique sur le ménage afin de déterminer si et dans quelle mesure l'atteinte subie par l'assurée l'affectait dans l'accomplissement de ses tâches ménagères. Dans le cadre de l'enquête effectuée le 31 octobre 2008, l'enquêtrice a proposé de retenir le statut de 50 % active et 50 % ménagère, ajoutant que l'assurée allait commencer une activité de collage à N.________ (travail en milieu protégé) dans le courant du mois de janvier 2008 à raison de trois jours par semaine. L'invalidité dans l'activité ménagère a finalement été évaluée à 13 % (rapport d'enquête daté du 30 octobre 2007). A la demande du Service médical régional de l'AI (SMR) du 5 novembre 2007 concernant les empêchements dans l'activité ménagère, ainsi que le taux y relatif, le Dr W.________ a indiqué que les empêchements au ménage étaient très modestes, probablement de l'ordre de 10 %. Toutefois, le temps nécessaire pour effectuer ces différentes tâches pouvait être un peu plus long qu'à l'habitude (courrier du 8 novembre 2007). b) Par avis médical du 26 novembre 2007, la Dresse P.________ du SMR, a estimé qu'il convenait de compléter l'instruction en sollicitant un rapport médical de la Dresse K.________ et en organisant une expertise psychiatrique compte tenu du diagnostic de fibromyalgie. Dans un rapport médical du 11 décembre 2007, la Dresse K.________ a posé les diagnostics ayant des répercussions sur la capacité de travail de l'intéressée de troubles sensitifs des membres inférieurs sur polyneuropathie diabétique, de lombosciatalgies S1 à bascule sur hernie discale L5-S1, d'état anxio-dépressif au départ réactionnel au décès de son fils et de status après cure de tunnel carpien gauche et transposition antérieure du nerf cubital gauche. N'ayant pas vu cette patiente depuis 2005, il ne lui a pas été possible d'évaluer sa capacité de travail. Dans un rapport du 5 mars 2008 faisant suite à une expertise du 31 janvier 2008, le Dr T.________, spécialiste FMH en psychiatrie et psychothérapie, a considéré que l'assurée souffrait d'un trouble mixte anxieux et dépressif, mais qu'il ne s'agissait pas d'une affection psychiatrique sévère. L'assurée pouvait donc travailler à 100 % dans une activité de femme de ménage. Les problèmes semblaient surtout être d'ordre socio-économique avec des difficultés financières suite à la perte de la rente pour conjoint. Dans un rapport médical final du 22 avril 2008, la Dresse P.________ du SMR a retenu une capacité de travail de 75 % dans une activité adaptée en raison de limitations fonctionnelles ostéo-articulaires uniquement. En l'absence d'incapacité de travail attestée, le SMR a considéré la date du consilium rhumatologique du Dr W.________, soit le 28 mars 2006 comme date de début de l'incapacité de travail durable. c) Par décision du 26 février 2009, confirmant un projet de décision du 15 janvier 2009, l'OAI a refusé l'octroi d'une rente d'invalidité. Il a ainsi considéré que sans atteinte à la santé, l'assurée ne travaillerait qu'à 50 %, les 50 % restant étant consacrés à la tenue de son ménage. Compte tenu de l'absence d'empêchement dans l'activité professionnelle, exercée à 50 %, et d'un empêchement de 13% dans l'activité ménagère, exercée à 50 %, l'OAI a constaté que l'invalidité globale se montait à 6.5 %, ce qui était insuffisant pour donner droit à une rente. B. a) Par acte du 22 mars 2009, J.________ interjette recours contre cette décision et conclut implicitement à l'annulation de la décision attaquée et au versement d'une rente d'invalidité. Elle soutient que son état de santé s'est aggravé ces dernières années. Ne pouvant travailler dans l'économie normale, elle a débuté un travail au sein de N.________, activité qui lui permet de rencontrer d'autres personnes, mais qu'en l'absence de rente, elle ne pourra pas la poursuivre. Elle annexe à son recours un courrier du 23 janvier 2009 du Dr G.________, ainsi qu'une lettre du 23 mars 2009 de N.________ la soutenant dans sa démarche. b) Dans sa réponse du 29 mai 2009, l'intimé a conclu au rejet du recours sans formuler d'observations. c) Par courrier du 4 juin 2009, le juge instructeur a demandé à l'intimé de se déterminer s'agissant de l'approche théorique, au sujet de l'absence d'empêchement quant à la part active, alors même que la capacité de travail avait été estimée à 75 % pour cette seule part active. d) Par lettre du 19 juin 2009, l'intimé a indiqué que dans la mesure où la capacité de travail exigible était de 75 % (sur la base d'un 100 %), la recourante ne subissait, conformément à la jurisprudence, aucun préjudice économique. e) Dans sa réplique du 17 novembre 2009, la recourante a transmis une nouvelle attestation de N.________ qui reprochait à l'intimé d'appliquer la loi sans tenir compte du contexte de vie de l'assurée et de sa famille. f) Dans sa duplique du 9 décembre 2009, l'intimé a rappelé que la capacité de travail de 75 % dans une activité adaptée ainsi que la relative "faiblesse" des empêchements ménagers ne permettait à l'évidence pas d'admettre qu'il existait une diminution de la capacité d'exercer une activité lucrative ou d'accomplir les travaux habituels en raison des efforts consentis dans l'autre domaine d'activité. Enfin, la recourante n'ayant pas repris d'activité lucrative dans la mesure de ce qui était exigible, le défaut de complémentarité entre les deux domaines d'activité ne pouvait être considéré comme manifeste et inévitable. E n  d r o i t  : 1. a) Interjeté le 22 mars 2009,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Le présent litige concerne le droit de la recourante à des prestations de l'assurance-invalidité, auxquelles elle prétend avoir droit.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 3. En l'espèce, il ressort du dossier que la recourante n'a plus assumé d'activité lucrative depuis 1986. Selon ses déclarations (formulaire 531 bis du 4 septembre 2007), elle aurait toutefois repris un emploi à 50 % depuis 2005, si elle avait été en bonne santé et ce pour des motifs financiers (perte de la rente pour conjoint), éléments qu'elle a confirmé à l'occasion de l'enquête ménagère (rapport d'enquête daté du 30 octobre 2007). Dans ce contexte, le statut de 50 % active et 50 % ménagère tel que retenu par l'intimé, ne saurait être remis en question. a)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27bis RAI et 16 LPGA, ainsi que l'art. 28 al. 2bis LAI en corrélation avec les art. 27 RAI et 8 al. 3 LPGA). Ainsi, lorsqu'il y a lieu d'appliquer la méthode mixte d'évaluation, l'invalidité des assurés pour la part qu'ils consacrent à leur activité lucrative doit être évaluée selon la méthode ordinaire de comparaison des revenus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 travail en mettant pleinement à profit sa capacité résiduelle dans un emploi adapté à son handicap (ATF 125 V 146 consid. 5a p. 154). b) Cela étant, 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voir également TFA I 156/04 du 13 décembre 2005, consid. 6.2, publié in SVR 2006 IV n° 42 p. 151).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Le Tribunal fédéral a ainsi dégagé les principes suivants (ATF 130 V 97 consid. 3.2 p. 99 et les références; TF 9C_713/2007 du 8 août 2008 consid. 4.2.2.).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4. a) En l'espèce, il s'agit à présent de déterminer la capacité résiduelle de travail de l'assurée (part active). Sur le plan somatique, la capacité de travail de la recourante a été fixée à 75 % tant par le Dr W.________, spécialiste FMH en rhumatologie, (rapport médical du 24 août 2007) que par le SMR (avis médical du 26 novembre 2007) en raison de rachialgies sur troubles statiques, séquelles d'une maladie de Scheuermann, de discopathies lombaires et d'une petite hernie discale L5-S1 paramédiane droite (rapports médicaux des 28 mars 2006 et 24 août 2007 du Dr W.________), cela dans une activité adaptée, soit autorisant la possibilité d'alterner les positions et le port-soulèvement de charges d'un poids maximal de 10 kg et excluant les positions statiques prolongées. Tant le Dr  G.________, médecin traitant de l'assurée, que la Dresse K.________, spécialiste en neurologie, ne se sont pas prononcés quant au taux d'incapacité de travail de l'intéressée (rapports des 24 août 2007 et 11 décembre 2007). Quant au Dr D.________, spécialiste en endocrinologie et diabétologie, il a préconisé une activité régulière adaptée par exemple à 50 %, sans attester d'incapacité de travail (rapport médical du 29 août 2007). Le Dr W.________ ayant fait état du diagnostic de fibromyalgie, c'est à juste titre que l'intimé a mis en œuvre une expertise psychiatrique de la recourante. Ainsi sur le plan psychique, l'expertise réalisée par le Dr T.________ a conclu à une pleine capacité de travail dans une activité de femme de ménage en l'absence de ralentissement moteur marqué et de fatiguabilité, les fonctions cognitives étant au demeurant préservées. L'expert a en effet exclu la présence d'un syndrome douloureux somatoforme persistant. La fibromyalgie était certes accompagnée d'un trouble dépressif et anxieux mixte (F 41.2), mais qui ne représentait pas une affection psychiatrique sévère. Cette appréciation n'a pas été remise en question par la Dresse C.________, psychiatre traitante de l'assurée, qui n'a attesté aucune incapacité de travail (rapport du 22 novembre 2004). Il y a dès lors lieu de retenir que la capacité de travail de l'assurée est de 75% pour une activité à plein temps. Compte tenu de sa volonté de reprendre une activité lucrative à 50 %, la recourante ne subit pas d'incapacité de gain, sa capacité résiduelle de travail étant plus étendue ou égale au taux d'activité qu'elle exercerait sans atteinte à la santé. b) S'agissant de l'accomplissement des travaux habituels, la recourante n'a pas contesté l'appréciation de son incapacité d'effectuer l'ensemble des activités. Le faible taux, soit 13 %, des empêchements ménagers ne permet pas d'admettre qu'il existe une diminution de la capacité d'accomplir les travaux habituels, éléments qui ont été confirmé par le Dr W.________, puisque ce dernier a conclu à des empêchements au ménage très modestes de l'ordre de 10 % (courrier du 8 novembre 2007). c) En tant qu'assurée exerçant une activité lucrative à temps partiel, il convient ainsi d'évaluer le degré d'invalidité qu'elle présente selon la méthode mixte. S'agissant de la capacité de travail, l'OAI a conclu à l'absence de préjudice économique, appréciation dont il n'y a pas lieu de s'écarter. Par ailleurs, le degré d'invalidité de 6.5 % (13 % X 50 %) que l'OAI a reconnu à la recourante dans l'accomplissement de ses tâches ménagères, échappe également à toute critique. Ainsi, l'addition des degrés d'invalidité dans l'activité lucrative (0 %) et dans l'activité ménagère (6.5 %) conduit à un degré d'invalidité total de 6.5 %, qui ne donne pas droit à une rente, étant donné qu'il est inférieur au taux minimal de 40 % (art. 28 al. 1 LAI). Enfin, la recourante n'ayant pas repris d'activité lucrative dans la mesure de ce qui est exigible, il n'est pas envisageable de procéder à un abattement supplémentaire sur la capacité de l'assurée à accomplir les travaux habituels. En tout état de cause, même en tenant compte d'un abattement maximal de 15 % dans la part active en raison des effets réciproques, il en résulterait un taux d'invalidité maximal pour la part active de 7,5 % (0.5 X 15), ce qui reste largement insuffisant pour la reconnaissance du droit à la rente. 5. a) Par conséquent, au regard de la jurisprudence exposée ci-dessus, les critiques développées par la recourante à l'appui de son recours ne lui permettent pas d'établir une violation du droit fédéral.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à la charge de recourante, qui succombe (art. 49 LPA-VD). Il n'y a pas lieu d'allouer de dépens, la recourante n'obtenant pas gain de cause (art. 61 let. g LPGA et 55 LPA-VD). Par ces motifs, la Cour des assurances sociales prononce : I. Le recours est rejeté. II. La décision rendue le 26 février 2009 par l'Office de l'assurance-invalidité pour le canton de Vaud est confirmée. III. Les frais de justice, par 250 francs, sont mis à la charge de la recourante. IV. Il n'est pas alloué de dépens. Le président : La greffière : Du L'arrêt qui précède, dont la rédaction a été approuvée à huis clos, est notifié à : ‑ J.________, à [...],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