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141/15 - 69/2016 vom 18. März 2016</w:t>
      </w:r>
    </w:p>
    <w:p>
      <w:r>
        <w:t>VD Tribunal cantonal, 2016-03-18, FR</w:t>
      </w:r>
    </w:p>
    <w:p>
      <w:r>
        <w:rPr>
          <w:b/>
        </w:rPr>
        <w:t xml:space="preserve">Quelle: </w:t>
      </w:r>
      <w:r>
        <w:t>https://mcp.opencaselaw.ch/entscheid/vd_findinfo_AI_141_15_-_69_2016</w:t>
      </w:r>
    </w:p>
    <w:p>
      <w:r>
        <w:t>FR: VD_FINDINFO AI 141/15 - 69/2016 du 18 mars 2016</w:t>
      </w:r>
    </w:p>
    <w:p>
      <w:r>
        <w:t>IT: VD_FINDINFO AI 141/15 - 69/2016 del 18 marzo 2016</w:t>
      </w:r>
    </w:p>
    <w:p>
      <w:pPr>
        <w:pStyle w:val="Heading2"/>
      </w:pPr>
      <w:r>
        <w:t>Regeste</w:t>
      </w:r>
    </w:p>
    <w:p>
      <w:r>
        <w:t>PAIEMENT DE L'ARRIÉRÉ, COMPENSATION DE CRÉANCES, AVANCE{EN GÉNÉRAL}, RENTE D'INVALIDITÉ, DÉCISION D'IRRECEVABILITÉ, ASSISTANCE JUDICIAIRE | 22 LPGA, 85bis RAI</w:t>
      </w:r>
    </w:p>
    <w:p>
      <w:pPr>
        <w:pStyle w:val="Heading2"/>
      </w:pPr>
      <w:r>
        <w:t>Erwägungen</w:t>
      </w:r>
    </w:p>
    <w:p>
      <w:r>
        <w:rPr>
          <w:b/>
        </w:rPr>
        <w:t>E. 1</w:t>
      </w:r>
    </w:p>
    <w:p>
      <w:r>
        <w:t>er avril 2011 que le recourant réclame à l’intimé (cf. art. 94 al. 1 let. a LPA-VD a contrario et 94 al. 4 LPA-VD ; voir aussi art. 83c al. 1 LOJV [loi cantonale vaudoise du 12 décembre 1979 d’organisation judiciaire ; RSV 173.01]).</w:t>
      </w:r>
    </w:p>
    <w:p>
      <w:r>
        <w:rPr>
          <w:b/>
        </w:rPr>
        <w:t>E. 2</w:t>
      </w:r>
    </w:p>
    <w:p>
      <w:r>
        <w:t>En l’espèce, est litigieuse la question de savoir si l’office AI était fondé à déduire le montant de 29'101 fr. 60 des paiements de rente rétroactifs dus à l’assuré pour la période du 1 er janvier 2000 au 30 juin 2014 à titre de compensation en faveur de la Caisse de pension I.________.</w:t>
      </w:r>
    </w:p>
    <w:p>
      <w:r>
        <w:rPr>
          <w:b/>
        </w:rPr>
        <w:t>E. 3</w:t>
      </w:r>
    </w:p>
    <w:p>
      <w:r>
        <w:t>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 bis al. 1 RAI (règlement du 17 janvier 1961 sur l’assurance-invalidité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Selon l'art. 85 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 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 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 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w:t>
      </w:r>
    </w:p>
    <w:p>
      <w:r>
        <w:rPr>
          <w:b/>
        </w:rPr>
        <w:t>E. 4</w:t>
      </w:r>
    </w:p>
    <w:p>
      <w:r>
        <w:t>Dans la décision dont est recours, l’office AI a fixé le montant de la rente due pour la période courant du 1 er janvier 2000 au 30 juin 2014 (rétroactif) et déduit, selon décompte du même jour faisant partie intégrante de dite décision, différents montants à titre de compensation, notamment en faveur de la Caisse de pension I.________ à hauteur de 29'101 fr. 60. Le recourant conteste l’existence même de la surindemnisation fondant la demande de compensation. Selon la jurisprudence,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TF 4A_24/2012 du 30 mai 2012, non publié in ATF 138 III 411; TFA I 296/03 du 21 octobre 2004 consid. 4.2). Selon la jurisprudence (TF 8C_115/2013 du 30 septembre 2013 consid. 5.2 et TFA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[loi fédérale du 18 mars 1994 sur l’assurance-maladie ; RS 832.10]) ou sur le droit privé (loi fédérale du 2 avril 1908 sur le contrat d’assurance ; RS 221.229.1 [LCA]). Est seul déterminant que l'assuré dispose d'une voie de droit directe à l'encontre de l'assureur pour contester le bien-fondé et le montant de la prétention en restitution. Le fait qu'il s'agisse d'une question de surindemnisation (ou de surassurance) et qu'il existe donc une certaine proximité avec une contestation du droit des assurances sociales ne suffit pas à soumettre le litige à la procédure de recours applicable en droit de l'assurance-invalidité (TF 9C_287/2014 du 16 juin 2014 consid. 2.2). Cette jurisprudence s’applique manifestement aussi s’agissant d’une surindemnisation invoquée par l’institution de prévoyance professionnelle. Sur le vu de ce qui précède, on ne peut que constater que la Cour de céans doit décliner sa compétence pour trancher le présent litige. Il s’ensuit que le recours doit être déclaré irrecevable et la cause rayée du rôle.</w:t>
      </w:r>
    </w:p>
    <w:p>
      <w:r>
        <w:rPr>
          <w:b/>
        </w:rPr>
        <w:t>E. 5</w:t>
      </w:r>
    </w:p>
    <w:p>
      <w:r>
        <w:t>a) Par décision du 22 mai 2015, le recourant a été mis au bénéfice de l’assistance judiciaire à compter du 21 mai 2015 et a obtenu à ce titre l’exonération du paiement d’avances et de frais judiciaires ainsi que la commission d’un avocat d’office en la personne de Me Alain Ribordy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3 septembre 2015, Me Ribordy a produit le relevé des opérations effectuées dans le cadre de la procédure du 21 mai 2015 au 3 septembre 2015, représentant un total de 540 minutes, soit 9 heures. Son activité a été contrôlée au regard de la conduite du procès et rentre globalement dans le cadre de l’accomplissement du mandat confié, de sorte qu’elle doit être arrêtée à 9 heures au tarif horaire de 180 fr. pour un avocat breveté (art. 2 al. 1 let. a RAJ). Quant aux débours, ils s’élevaient à 59 fr. 60. Ainsi, Me Ribordy a droit à un montant de 1'813 fr. 95, débours et TVA au taux de 8% compris,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w:t>
      </w:r>
    </w:p>
    <w:p>
      <w:r>
        <w:rPr>
          <w:b/>
        </w:rPr>
        <w:t>E. 6</w:t>
      </w:r>
    </w:p>
    <w:p>
      <w:r>
        <w:t>a)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Quoique l’intimé obtienne gain de cause, il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