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130/20 - 74/2021 vom 9. März 2021</w:t>
      </w:r>
    </w:p>
    <w:p>
      <w:r>
        <w:t>VD Tribunal cantonal, 2021-03-09, FR</w:t>
      </w:r>
    </w:p>
    <w:p>
      <w:r>
        <w:rPr>
          <w:b/>
        </w:rPr>
        <w:t xml:space="preserve">Quelle: </w:t>
      </w:r>
      <w:r>
        <w:t>https://mcp.opencaselaw.ch/entscheid/vd_findinfo_AI_130_20_-_74_2021</w:t>
      </w:r>
    </w:p>
    <w:p>
      <w:r>
        <w:t>FR: VD_FINDINFO AI 130/20 - 74/2021 du 9 mars 2021</w:t>
      </w:r>
    </w:p>
    <w:p>
      <w:r>
        <w:t>IT: VD_FINDINFO AI 130/20 - 74/2021 del 9 marzo 2021</w:t>
      </w:r>
    </w:p>
    <w:p>
      <w:pPr>
        <w:pStyle w:val="Heading2"/>
      </w:pPr>
      <w:r>
        <w:t>Regeste</w:t>
      </w:r>
    </w:p>
    <w:p>
      <w:r>
        <w:t>RENTE D'INVALIDITÉ, MOTIF DE RÉVISION, COMPARAISON DES REVENUS, ÉVALUATION DE L'INCAPACITÉ DE TRAVAIL, ATTEINTE À LA SANTÉ PHYSIQUE, ATTEINTE À LA SANTÉ PSYCHIQUE, ÉTAT DE SANTÉ, MODIFICATION{EN GÉNÉRAL}, LIBRE APPRÉCIATION DES PREUVES | 28 al. 2 LAI, 4 al. 1 LAI, 16 LPGA, 17 al. 1 LPGA, 6 LPGA, 61 let. c LPGA, 7 LPGA, 8 LPGA, 88a al. 1 RAI, 88bis al. 2 let. a RAI</w:t>
      </w:r>
    </w:p>
    <w:p>
      <w:pPr>
        <w:pStyle w:val="Heading2"/>
      </w:pPr>
      <w:r>
        <w:t>Erwägungen</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 quart de rente s'il est invalide à 40 % au moins, à une demi-rente s'il est invalide à 50 % au moins, aux trois-quarts d'une rente s'il est invalide à 60 % au moins et à une rente entière s'il est invalide à 70 % au moins (art. 28 al. 2 LAI). b) Aux termes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(ATF 141 V 9 consid. 2.3).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Aux termes de l’art. 88a al. 1 RAI (règlement du 17 janvier 1961 sur l’assurance-invalidité ; RS 831.201),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ne soit à craindre. La diminution ou la suppression de la rente, de l’allocation pour impotent ou de la contribution d’assistance prend effet au plus tôt le premier jour du deuxième mois qui suit la notification de la décision (art. 88bis al. 2 let. a RAI). c)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d)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w:t>
      </w:r>
    </w:p>
    <w:p>
      <w:r>
        <w:rPr>
          <w:b/>
        </w:rPr>
        <w:t>E. 4</w:t>
      </w:r>
    </w:p>
    <w:p>
      <w:r>
        <w:t>Appréciation du cas et pronostic […] A l’examen de ce jour (11 juin 2018), Mme R.________ est venue seule en voiture et se présente avec 20 minutes d’avance. Elle se déplace sans difficulté et monte aisément les 14 marches de l’escalier menant au cabinet. Madame s’assied et se relève normalement du siège, sans prendre de précaution particulière. Enjouée, tonique et souriante, l’assurée se montre tout à fait collaborante durant l’entretien. Elle ne manifeste aucun signe d’inconfort ou de douleur durant l’examen, bien qu’elle relate des algies, sur un mode non démonstratif. Madame ne change pas de position. Aucune fatigabilité ou ralentissement psychomoteur n’est objectivé. La thymie est bien modulée. Le seuil anxiogène est dans les normes. Madame est calme, ne présente pas de signes d’angoisse ni de symptômes neurovégétatifs durant l’entretien ; par ailleurs, aucun symptôme ne ressort de l’anamnèse. On ne relève pas de troubles du comportement, de déviance caractérielle grave, de conduites d’évitement ; au contraire, l’expertisée se développe dès l’enfance, voire au plus tard à l’adolescence. Sans formation, âgée de 23 ans, Madame a pu trouver un travail en Suisse, quitter son pays et s’adapter à un nouveau mode de vie. Ses relations sociales ont été stables et harmonieuses. Rapidement, Mme R.________ a noué une relation affective, toujours en cours. Ces divers éléments permettent d’exclure un trouble de personnalité, en particulier une personnalité anxieuse. Quant à la dysthymie évoquée en novembre 2000 par le Docteur A.___________, Madame n’en présente plus les critères, à savoir qu’elle n’a pas d’humeur chroniquement abaissée, de ruminations constantes, de troubles du sommeil permanents dus à des pensées négatives (le sommeil serait perturbé par les douleurs). Quant au diagnostic de troubles de l’adaptation, selon la CIM-10, ce diagnostic ne peut excéder</w:t>
      </w:r>
    </w:p>
    <w:p>
      <w:r>
        <w:rPr>
          <w:b/>
        </w:rPr>
        <w:t>E. 6</w:t>
      </w:r>
    </w:p>
    <w:p>
      <w:r>
        <w:t>a) Selon la jurisprudence, l'administration doit, avant de réduire ou supprimer le droit à la rente d'invalidité d'un assuré qui est âgé de 55 ans révolus ou qui a bénéficié d'une rente pendant quinze ans au moins, par révision (art. 17 al. 1 LPGA) ou reconsidération (art. 53 al. 2 LPGA), vérifier si la capacité de travail résiduelle médico-théorique permet d'inférer sans autres démarches une amélioration de la capacité de gain ou s'il est nécessaire au préalable de mettre en œuvre une mesure d'observation professionnelle et/ou des mesures légales de réadaptation (TF 9C_308/2018 du 17 août 2018 consid. 5.2 ; TF 9C_517/2016 du 7 mars 2017 consid. 5.2 et les références). Il en découle – sous réserve de cas où l'assuré dispose d'emblée de capacités suffisantes lui permettant une réadaptation par soi-même (TF 8C_582/2017 du 22 mars 2018 consid. 6.3; TF 9C_183/2015 du 19 août 2015 consid. 5) – que ce n'est qu'à l'issue d'un examen concret de la situation de l'assuré et de la mise en œuvre d'éventuelles mesures de réadaptation sur le marché du travail que l'OAI peut définitivement statuer sur la révision de la rente d'invalidité et, le cas échéant, réduire ou supprimer le droit à la rente. Par conséquent, dans ces situations, l'examen et l'exécution des éventuelles mesures constituent une condition de la suppression (ou réduction) de la rente, cette suppression (ou réduction) ne pouvant prendre effet antérieurement (TF 9C_227/2020 du 5 octobre 2020 consid. 2.2 ; TF 9C_707/2018 du 26 mars 2019 consid. 5.1 et les arrêts cités). b) Au moment où l’office intimé a initié la procédure de révision du droit à la rente, la recourante était au bénéfice de cette prestation depuis plus de quinze ans, si bien qu’elle appartient à cette catégorie d’assurés dont il convient de présumer qu’ils ne peuvent en principe pas entreprendre de leur propre chef tout ce que l’on peut raisonnablement attendre d’eux pour tirer profit de leur capacité résiduelle de travail. Dans le cadre de l’instruction de la procédure de révision, l’office intimé a proposé à la recourante, au cours d’un entretien qui s’est déroulé le 17 septembre 2019, la mise en place d’une mesure de reconditionnement au travail. Contestant la capacité de travail résiduelle médico-théorique et s’estimant inapte au travail, la recourante a, malgré la sommation qui lui a été adressée le 2 octobre 2019, refusé les mesures de réinsertion proposées (courrier du 30 octobre 2019 de la protection juridique de la recourante). Il s’ensuit que l’office intimé a examiné la problématique de l’octroi préalable de mesures d’ordre professionnel avant la suppression du droit à la rente en interpelant la recourante à plusieurs reprises, mais que celle-ci n’a pas souhaité donner suite aux mesures proposées.</w:t>
      </w:r>
    </w:p>
    <w:p>
      <w:r>
        <w:rPr>
          <w:b/>
        </w:rPr>
        <w:t>E. 7</w:t>
      </w:r>
    </w:p>
    <w:p>
      <w:r>
        <w:t>A l’aune de ce qui précède, la décision prise le 23 mars 2020 par l’office intimé de supprimer la demi-rente d’invalidité de la recourante avec effet au premier jour du deuxième mois suivant la notification de la décision (cf. art. 88bis al. 2 let. a RAI) est conforme au droit fédéral.</w:t>
      </w:r>
    </w:p>
    <w:p>
      <w:r>
        <w:rPr>
          <w:b/>
        </w:rPr>
        <w:t>E. 8</w:t>
      </w:r>
    </w:p>
    <w:p>
      <w:r>
        <w:t>Pour finir, il convient de préciser qu’il n’y a pas lieu, dans le cadre de la présente procédure, d’examiner la problématique du sort de l’action récursoire des assureurs contre le tiers responsable et les implications financières que la révision du droit à la rente peut engendrer à ce sujet, cette question ne faisant pas partie de l’objet du litige (ATF 141 V 148 consid. 4.3). Au demeurant, dans la mesure où la diminution de la rente correspond à une diminution du dommage subi par la recourante, celle-ci ne subit aucun préjudice en raison de la créance subrogatoire que les assureurs sociaux ont fait valoir ( Ghislaine Frésard-Fellay , Le recours subrogatoire de l’assurance-accidents sociale contre le tiers responsable ou son assureur, thèse, Fribourg 2007, n° 950, p. 313).</w:t>
      </w:r>
    </w:p>
    <w:p>
      <w:r>
        <w:rPr>
          <w:b/>
        </w:rPr>
        <w:t>E. 9</w:t>
      </w:r>
    </w:p>
    <w:p>
      <w:r>
        <w:t>Mal fondé, le recours doit par conséquent être rejeté et la décision attaquée confirmée.</w:t>
      </w:r>
    </w:p>
    <w:p>
      <w:r>
        <w:rPr>
          <w:b/>
        </w:rPr>
        <w:t>E. 10</w:t>
      </w:r>
    </w:p>
    <w:p>
      <w:r>
        <w:t>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la recourante, qui succombe. b) Il n’y a par ailleurs pas lieu d’allouer de dépens, la recourante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