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12/20 - 343/2020 vom 8. Oktober 2020</w:t>
      </w:r>
    </w:p>
    <w:p>
      <w:r>
        <w:t>VD Tribunal cantonal, 2020-10-08, FR</w:t>
      </w:r>
    </w:p>
    <w:p>
      <w:r>
        <w:rPr>
          <w:b/>
        </w:rPr>
        <w:t xml:space="preserve">Quelle: </w:t>
      </w:r>
      <w:r>
        <w:t>https://mcp.opencaselaw.ch/entscheid/vd_findinfo_AI_12_20_-_343_2020</w:t>
      </w:r>
    </w:p>
    <w:p>
      <w:r>
        <w:t>FR: VD_FINDINFO AI 12/20 - 343/2020 du 8 octobre 2020</w:t>
      </w:r>
    </w:p>
    <w:p>
      <w:r>
        <w:t>IT: VD_FINDINFO AI 12/20 - 343/2020 del 8 ottobre 2020</w:t>
      </w:r>
    </w:p>
    <w:p>
      <w:pPr>
        <w:pStyle w:val="Heading2"/>
      </w:pPr>
      <w:r>
        <w:t>Regeste</w:t>
      </w:r>
    </w:p>
    <w:p>
      <w:r>
        <w:t>NOUVELLE DEMANDE | 17 LPGA, 87 RAI</w:t>
      </w:r>
    </w:p>
    <w:p>
      <w:pPr>
        <w:pStyle w:val="Heading2"/>
      </w:pPr>
      <w:r>
        <w:t>Erwägungen</w:t>
      </w:r>
    </w:p>
    <w:p>
      <w:r>
        <w:rPr>
          <w:b/>
        </w:rPr>
        <w:t>E. 4</w:t>
      </w:r>
    </w:p>
    <w:p>
      <w:r>
        <w:t>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5</w:t>
      </w:r>
    </w:p>
    <w:p>
      <w:r>
        <w:t>s. ; cf. rapports de la Clinique K.________ des 18 mars 2018 p. 4 et 26 mai 2017 p. 5 ; cf. rapport du Prof. P.________ du 13 février 2017 p. 2). Partant, on ne distingue aucun élément concret dans le sens d’une potentielle détérioration de l’état de santé psychique. d) A la lumière de ce qui précède, il y a lieu de retenir que le recourant n'a pas établi de façon plausible une aggravation de son état de santé depuis la dernière décision de refus de prestations entrée en force. Sa nouvelle demande de prestations déposée le</w:t>
      </w:r>
    </w:p>
    <w:p>
      <w:r>
        <w:rPr>
          <w:b/>
        </w:rPr>
        <w:t>E. 9</w:t>
      </w:r>
    </w:p>
    <w:p>
      <w:r>
        <w:t>juin 2019 ne pouvait donc que se voir opposer un refus d’entrer en matière – ce à quoi équivaut, en définitive, la décision querellée. Tout au plus ajoutera-t-on que c’est par le biais d’un recours contre la décision du</w:t>
      </w:r>
    </w:p>
    <w:p>
      <w:r>
        <w:rPr>
          <w:b/>
        </w:rPr>
        <w:t>E. 12</w:t>
      </w:r>
    </w:p>
    <w:p>
      <w:r>
        <w:t>février 2018 que l’assuré aurait dû contester le refus de mesure de reclassement expressément signifié dans cette décision. En effet, les motifs d'une décision de rente entrée en force ne peuvent pas faire l'objet d'un réexamen dans le cadre d'une procédure de révision ou de nouvelle demande ; il n'y a pas lieu de revenir sur lesdits motifs, à moins que l'on ne soit en présence d'un nouveau cas d'assurance (cf. ATF 136 V 369 consid. 3.1 ; cf. TF 9C_920/2010 du 18 octobre 2011 consid. 2.2), ce qui n’est pas le cas en l’espèce. On relèvera, au surplus, que le recourant a précédemment été mis au bénéfice d’une mesure d’aide au placement qu’il a toutefois mise en échec de par son manque de collaboration et son absence de réaction à la sommation du 13 juillet 2018. 6.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du recourant qui succombe (art. 49 al. 1 LPA-VD). Il n’y a pas lieu d’allouer de dépens, le recourant, au demeurant non représenté par un mandataire qualifié, n’obtenant pas gain de cause (cf. art. 55 al. 1 LPA-VD et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