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123/11 - 274/2013 vom 7. Oktober 2013</w:t>
      </w:r>
    </w:p>
    <w:p>
      <w:r>
        <w:t>VD Tribunal cantonal, 2013-10-07, FR</w:t>
      </w:r>
    </w:p>
    <w:p>
      <w:r>
        <w:rPr>
          <w:b/>
        </w:rPr>
        <w:t xml:space="preserve">Quelle: </w:t>
      </w:r>
      <w:r>
        <w:t>https://mcp.opencaselaw.ch/entscheid/vd_findinfo_AI_123_11_-_274_2013</w:t>
      </w:r>
    </w:p>
    <w:p>
      <w:r>
        <w:t>FR: VD_FINDINFO AI 123/11 - 274/2013 du 7 octobre 2013</w:t>
      </w:r>
    </w:p>
    <w:p>
      <w:r>
        <w:t>IT: VD_FINDINFO AI 123/11 - 274/2013 del 7 ottobre 2013</w:t>
      </w:r>
    </w:p>
    <w:p>
      <w:pPr>
        <w:pStyle w:val="Heading2"/>
      </w:pPr>
      <w:r>
        <w:t>Regeste</w:t>
      </w:r>
    </w:p>
    <w:p>
      <w:r>
        <w:t>RENTE D'INVALIDITÉ, AFFECTION PSYCHIQUE, MALADIE RÉNALE | 28 al. 2 LAI, 4 al. 1 LAI, 8 al. 1 LPGA</w:t>
      </w:r>
    </w:p>
    <w:p>
      <w:pPr>
        <w:pStyle w:val="Heading2"/>
      </w:pPr>
      <w:r>
        <w:t>Erwägungen</w:t>
      </w:r>
    </w:p>
    <w:p>
      <w:r>
        <w:rPr>
          <w:b/>
        </w:rPr>
        <w:t>E. 3</w:t>
      </w:r>
    </w:p>
    <w:p>
      <w:r>
        <w:t>a) Selon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w:t>
      </w:r>
    </w:p>
    <w:p>
      <w:r>
        <w:rPr>
          <w:b/>
        </w:rPr>
        <w:t>E. 4</w:t>
      </w:r>
    </w:p>
    <w:p>
      <w:r>
        <w:t>a) Le recourant soutient qu’il est gravement atteint dans sa santé en raison de ses problèmes rénaux et que de ce fait il n’est plus en mesure d’exercer son activité à un taux supérieur à 50%. Il justifie ainsi la réduction de son taux d'activité à 50%. Dans la décision querellée, l’intimé estime que le recourant a diminué volontairement son taux d’activité à 60% dès le 1 er novembre 2009 sans motivation médicale alors que la capacité de travail serait de 70% dans toute activité y compris l’activité habituelle d'employé d'hôpital. En conséquence, l’OAI considère que le recourant est réadapté de manière adéquate et qu'il n’y a pas besoin d’autres mesures. b) Il convient donc de déterminer le statut de l’assuré. La réponse à la question de savoir à quel taux d’activité la personne assurée travaillerait sans atteinte à la santé dépend de l’ensemble des circonstances personnelles, familiales, sociales, financières et professionnelles (ATF 130 V 393 consid. 3.3 p. 396). Cette évaluation doit également prendre en considération la volonté hypothétique de l’assuré qui, en tant que fait interne, ne peut faire l’objet d’une administration directe de la preuve et doit en règle générale être déduite d’indices extérieurs (TF 9C_62/2011 du 16 août 2011 consid. 4.1; TF 9C_399/2008 du 5 mai 2009 consid. 4.1; TF 9C_667/2007 du 12 juin 2008 consid. 3.1; TF 9C_428/2007 du 20 novembre 2007 consid. 4.1; TFA I 693/06 du 20 décembre 2006 consid. 4.1). Il convient pour déterminer la méthode applicable au cas particulier de s’attacher à ce que la personne assurée aurait fait dans les mêmes circonstances si l’atteinte à la santé n’était pas survenue. En tant qu’il s’agit d’analyser une situation par nature hypothétique, le raisonnement retenu, s’il doit être basé sur des motifs objectifs, ne peut se référer en définitif qu’à l’expérience générale de la vie (ATF 117 V 194 consid. 3b; TF 9C_137/2013 du 22 juillet 2013 consid. 5). En l’occurrence, l’OAI n’a pas du tout instruit sur les raisons de la diminution du taux d’activité de l’assuré. Or, le Tribunal fédéral a jugé (TF 9C_519/2010 du 5 juillet 2011 consid. 5) qu’en renonçant à mener les investigations qui s’imposaient pour être en mesure de choisir la méthode d’évaluation de l’invalidité, l’office recourant a pris le risque que la juridiction cantonale de recours le fasse elle-même et procède à des constatations de faits qu’il ne partage pas, sans que le résultat de l’administration des preuves (la reconnaissance d’un statut de personne active à plein temps) apparaisse insoutenable au point de devoir entraîner l’annulation du jugement entrepris. En l’espèce, le recourant est né en 1960. Il a toujours travaillé à plein temps même après sa greffe du rein. Ses deux filles étaient en 2010, l’une à l’université, l’autre au gymnase, donc en principe encore à la charge de leurs parents. La première baisse de son taux d’activité (de 100 à 60%) date de novembre 2009. Selon la Dresse L.________, cette modification intervient dans le contexte de l’état de santé du recourant qui se détériorait depuis 2009. Cette détérioration est également attestée par la Dresse N.________, qui fixait en juin 2010 la capacité de travail de 60 à 70%, et il résulte également du rapport du 10 août 2009 du département de psychiatrie du CHUV que l’état de santé du recourant influençait le travail de celui-ci. Dans son rapport du 27 juillet 2010, le Dr X.________ atteste lui-même du début d’une longue maladie depuis le 3 septembre 2009 et d'une capacité de travail de 70% dans toute activité. L’ensemble de ces circonstances (situation familiale et attestations médicales) indique que ce n’est pas par choix de vie que le recourant a diminué son taux d’activité mais pour des raisons médicales, justifiées ou non. Il y a donc lieu de retenir au recourant le statut d'actif à 100% et donc de refuser de suivre l’OAI lorsque celui-ci affirme que la réduction du taux d’activité n’était pas motivée par des raisons médicales. c) Il y a lieu dès lors de déterminer la capacité de travail du recourant. Dans son courrier du 28 juin 2010 du Dr X.________, la Dresse N.________ estime que la capacité de travail du recourant serait de 70 à 80% si celui-ci ne souffrait que de sa pathologie rénale. Elle impute pour le surplus l’incapacité de travail aux problèmes psychiques du recourant. Le SMR, dans son avis du 27 juillet 2010, considère que la capacité de travail du recourant est de 70% dans toute activité, y compris l’activité habituelle. Il retient comme atteinte principale à la santé l’insuffisance chronique de stade III chez un patient traité par greffe rénale en 1995 et présentant un état de fatigabilité s’aggravant du fait de l’atteinte rénale et de son traitement. En revanche, le SMR soutient que le recourant ne présente pas de symptômes psychiatriques. Il doit être suivi à cet égard. En effet, aucun rapport convaincant ne fait état d’une pathologie psychiatrique invalidante. Certes, la Dresse N.________, dans son rapport du 28 juin 2010, évoque un état anxio-dépressif avec répercussion évidente sur sa capacité de travail mais sans chiffrer une éventuelle incapacité de travail à cet égard. Cela étant, il ressort clairement de tous les rapports que dans le cadre de son activité habituelle, le recourant est, de par sa maladie, confronté à des difficultés générant du stress entraînant irritabilité et angoisses. Dans son rapport du 27 juillet 2010, le Dr X.________ fait totalement abstraction de cet élément, n’énumérant que des limitations fonctionnelles physiques (activité de type sédentaire ou semi-sédentaire, sans manipulation prolongée de charges lourdes de plus de 10 kg, horaire à répartir sur 5 jours ouvrables, activité permettant l’alternance des positions, pas de travail avec les bras maintenus au-dessus de la tête, pas de travail en position accroupie ou à genoux de façon prolongée). d) Le recourant soutient qu'il n'est pas exigible de le faire changer d’activité car cela entraînerait pour lui une perte salariale importante.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(RCC 1983 p. 246), ou encore d’accepter un emploi le contraignant à changer de domicile, en vertu de son obligation de réduire le dommage résultant de l’invalidité (ATF 113 V 22 consid. 4; 109 V 25 consid. 3c; TF 8C_771/2011 du 15 novembre 2012 consid. 3).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p. 380; 119 V 250 consid. 3a p. 253; voir également ATF 113 V 22 consid. 4d p. 31; TF 8C_771/2011 du 15 novembre 2012 consid. 3). Il n’y a aucune raison de s’écarter de ce principe dans le cas d'espèce, de sorte qu'il est exigible de la part du recourant de changer de travail. Il appartient du reste à l'assurance-invalidité de suppléer à une perte de gain en résultant. C’est d’ailleurs ainsi que se détermine le taux d’invalidité selon l’art. 16 LPGA. En l’occurrence, l’OAI a calculé cette perte de gain. Il a pris en considération l’année 2010, ce qui est exact (le début de l'incapacité de travail durable date du 3 septembre 2009 et le droit à la rente débute en septembre 2010 – délai de carence d’une année oblige [art. 28 LAI], le délai de six mois après le dépôt de la demande [art. 29 al. 1 LAI] étant en outre respecté). e) Dès lors, selon le calcul exposé par l'OAI dans sa fiche du 30 septembre 2010, le degré d’invalidité est de 46%, étant précisé que le taux d’abattement de 10% n'est pas arbitraire et paraît équitable au vu des circonstances du cas d'espèce. Selon les indications ressortant de la fiche de salaire du 30 septembre 2010, le revenu dans une activité adaptée – selon l'enquête suisse sur la structure des salaires pour 2010 – est de 42'866 fr. 91 pour un poste à 70%. Avec un abattement de 10%, il y a lieu de retenir un revenu d'invalide de 38'580 fr. 21 (42'866.91 – 10%). Compte tenu d'un revenu sans invalidité de 71'290 fr., le degré d'invalidité s'élève à 46% ([71'290 – 38'580.21] : 71'290), ce qui donne droit à un quart de rente d'invalidité (art. 28 al. 2 LAI). En conséquence, le recours est admis et le recourant a droit à un quart de rente d'invalidité dès le 1 er septembre 2010.</w:t>
      </w:r>
    </w:p>
    <w:p>
      <w:r>
        <w:rPr>
          <w:b/>
        </w:rPr>
        <w:t>E. 5</w:t>
      </w:r>
    </w:p>
    <w:p>
      <w:r>
        <w:t>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judicaires à 400 fr. et de les mettre à la charge de l'OAI, qui succombe. Le recourant, qui obtient gain de cause avec l'assistance d'un mandataire professionnel, a droit à une indemnité de dépens (art. 61 let. g LPGA), qu'il y a lieu de fixer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