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115/14 - 62/2016 vom 14. März 2016</w:t>
      </w:r>
    </w:p>
    <w:p>
      <w:r>
        <w:t>VD Tribunal cantonal, 2016-03-14, FR</w:t>
      </w:r>
    </w:p>
    <w:p>
      <w:r>
        <w:rPr>
          <w:b/>
        </w:rPr>
        <w:t xml:space="preserve">Quelle: </w:t>
      </w:r>
      <w:r>
        <w:t>https://mcp.opencaselaw.ch/entscheid/vd_findinfo_AI_115_14_-_62_2016</w:t>
      </w:r>
    </w:p>
    <w:p>
      <w:r>
        <w:t>FR: VD_FINDINFO AI 115/14 - 62/2016 du 14 mars 2016</w:t>
      </w:r>
    </w:p>
    <w:p>
      <w:r>
        <w:t>IT: VD_FINDINFO AI 115/14 - 62/2016 del 14 marzo 2016</w:t>
      </w:r>
    </w:p>
    <w:p>
      <w:pPr>
        <w:pStyle w:val="Heading2"/>
      </w:pPr>
      <w:r>
        <w:t>Regeste</w:t>
      </w:r>
    </w:p>
    <w:p>
      <w:r>
        <w:t>RENTE D'INVALIDITÉ, MALADIE MENTALE | 28 LAI, 4 LAI, 7 LPGA, 8 LPGA</w:t>
      </w:r>
    </w:p>
    <w:p>
      <w:pPr>
        <w:pStyle w:val="Heading2"/>
      </w:pPr>
      <w:r>
        <w:t>Erwägungen</w:t>
      </w:r>
    </w:p>
    <w:p>
      <w:r>
        <w:rPr>
          <w:b/>
        </w:rPr>
        <w:t>E. 1</w:t>
      </w:r>
    </w:p>
    <w:p>
      <w:r>
        <w:t>LAI faute d’avoir la nationalité suisse et de comptabiliser le même nombre d’années d’assurance que les assurés de sa classe d’âge, et ne remplissant pas davantage les exigences de l’art. 39 al. 3 LAI dont le champ d’application (par renvoi à l’art. 9 al. 3 LAI) est circonscrit aux ressortissants étrangers âgés de moins de 20 ans ayant leur domicile et leur résidence habituelle en Suisse. 7. Le dossier étant complet, permettant ainsi à la Cour de céans de statuer en pleine connaissance de cause, il n'y a pas lieu de donner suite aux mesures d’instruction requises par le recourant (stage COPAI, expertise judiciaire, comparution personnelle, audition de Y.________).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8. a) En conclusion, le recours, mal fondé, doit être rejeté dans la mesure où il est recevable et la décision attaquée confirmée, par substitution de motifs.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w:t>
      </w:r>
    </w:p>
    <w:p>
      <w:r>
        <w:rPr>
          <w:b/>
        </w:rPr>
        <w:t>E. 5</w:t>
      </w:r>
    </w:p>
    <w:p>
      <w:r>
        <w:t>LPA-VD). Il incombe au Service juridique et législatif de fixer les modalités de ce remboursement (cf. art. 5 RAJ). En l'espèce, compte tenu de l'ampleur de la procédure, les frais de justice doivent être fixés à 400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Le recourant bénéficie en outre, au titre de l'assistance judiciaire, de la commission d'office d'un avocat en la personne de Me Florence Bourqui (cf. art. 118 al. 1 let. c CPC, applicable par renvoi de l'art. 18 al. 5 LPA-VD). Invitée à produire sa liste des opérations (cf. art. 3 al. 1 RAJ), cette dernière s’en est remise à la juridiction de céans pour la fixation de son indemnité dans la présente affaire (cf. télécopie du 21 juillet 2015). Dès lors, vu l’étendue des opérations nécessaires à la conduite du procès (cf. art. 2 al. 1 et art. 3 al. 2 RAJ), il y a lieu d’arrêter équitablement le défraiement à 1’555 fr. 20, TVA comprise (soit 1’440 fr. de prestations d’avocat [8 heures x 180 fr.] + 115 fr. 20 de TVA), auquel il convient d’ajouter 108 fr. pour les débours, TVA incluse (cf. art. 3 al. 3 RAJ). L’indemnité d’office de Me Bourqui s’élève donc à 1'663 fr. 20. Cette rémunération est provisoirement supportée par le canton, la recourante étant rendue attentive au fait qu'elle est tenue d'en rembourser le montant dès qu’elle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