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101/21 - 391/2021 vom 7. Dezember 2021</w:t>
      </w:r>
    </w:p>
    <w:p>
      <w:r>
        <w:t>VD Tribunal cantonal, 2021-12-07, FR</w:t>
      </w:r>
    </w:p>
    <w:p>
      <w:r>
        <w:rPr>
          <w:b/>
        </w:rPr>
        <w:t xml:space="preserve">Quelle: </w:t>
      </w:r>
      <w:r>
        <w:t>https://mcp.opencaselaw.ch/entscheid/vd_findinfo_AI_101_21_-_391_2021___________</w:t>
      </w:r>
    </w:p>
    <w:p>
      <w:r>
        <w:t>FR: VD_FINDINFO AI 101/21 - 391/2021 du 7 décembre 2021</w:t>
      </w:r>
    </w:p>
    <w:p>
      <w:r>
        <w:t>IT: VD_FINDINFO AI 101/21 - 391/2021 del 7 dicembre 2021</w:t>
      </w:r>
    </w:p>
    <w:p>
      <w:pPr>
        <w:pStyle w:val="Heading2"/>
      </w:pPr>
      <w:r>
        <w:t>Regeste</w:t>
      </w:r>
    </w:p>
    <w:p>
      <w:r>
        <w:t>COMPARAISON DES REVENUS, ACTIVITÉ LUCRATIVE INDÉPENDANTE, REVENU ACCESSOIRE, ENQUÊTE SUISSE SUR LA STRUCTURE DES SALAIRES{ESS}, ÉVALUATION DE L'INVALIDITÉ, RECONVERSION PROFESSIONNELLE, AI{ASSURANCE} | 17 al. 1 LAI, 28 LAI, 29 al. 1 LAI, 4 al. 1 LAI, 8 LAI, 16 LPGA, 6 LPGA, 7 LPGA, 8 al. 1 LPGA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définitive, le recours, mal fondé, doit être rejeté et la décision litigieuse confirmée. b) La procédure de recours en matière de contestations portant sur l’octroi ou le refus de prestations de l’assurance-invalidité est soumise à des frais de justice (art. 69 al. 1 bis LAI). Il convient de les fixer à 600 fr. et de les mettre à la charge de la partie recourante, vu le sort de ses conclusions. Il n’y a pas lieu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