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100/15 - 82/2016 vom 4. April 2016</w:t>
      </w:r>
    </w:p>
    <w:p>
      <w:r>
        <w:t>VD Tribunal cantonal, 2016-04-04, FR</w:t>
      </w:r>
    </w:p>
    <w:p>
      <w:r>
        <w:rPr>
          <w:b/>
        </w:rPr>
        <w:t xml:space="preserve">Quelle: </w:t>
      </w:r>
      <w:r>
        <w:t>https://mcp.opencaselaw.ch/entscheid/vd_findinfo_AI_100_15_-_82_2016</w:t>
      </w:r>
    </w:p>
    <w:p>
      <w:r>
        <w:t>FR: VD_FINDINFO AI 100/15 - 82/2016 du 4 avril 2016</w:t>
      </w:r>
    </w:p>
    <w:p>
      <w:r>
        <w:t>IT: VD_FINDINFO AI 100/15 - 82/2016 del 4 aprile 2016</w:t>
      </w:r>
    </w:p>
    <w:p>
      <w:pPr>
        <w:pStyle w:val="Heading2"/>
      </w:pPr>
      <w:r>
        <w:t>Regeste</w:t>
      </w:r>
    </w:p>
    <w:p>
      <w:r>
        <w:t>SUPPRESSION DE LA PRESTATION D'ASSURANCE, MOTIF DE RÉVISION, RÉVISION{DÉCISION}, AFFECTION PSYCHIQUE, EXPERTISE PLURIDISCIPLINAIRE, DÉCISION DE RENVOI | 17 LPGA, 88a RAI, 88bis RAI</w:t>
      </w:r>
    </w:p>
    <w:p>
      <w:pPr>
        <w:pStyle w:val="Heading2"/>
      </w:pPr>
      <w:r>
        <w:t>Erwägungen</w:t>
      </w:r>
    </w:p>
    <w:p>
      <w:r>
        <w:rPr>
          <w:b/>
        </w:rPr>
        <w:t>E. 16</w:t>
      </w:r>
    </w:p>
    <w:p>
      <w:r>
        <w:t>octobre 2015, joint en annexe. Sur le plan psychique, les experts du Centre K.________ avaient considéré que l’assurée était à même d’exercer une activité durant huit heures par jour. Elle ne présentait pas d’atteinte à la santé du point de vue de la médecine interne. Quant au volet neurologique, l’hypersomnie idiopathique diagnostiquée ne pouvait être assimilable à un trouble somatoforme douloureux, dans la mesure où une origine somatique à cette problématique n’était pas exclue. Sur la base des tests effectués par le Dr P.________, qui avait conclu à une vigilance normale, les experts du Centre K.________ avaient retenu une capacité de travail minimale de 70% dans une activité stimulante. Le SMR proposait de retenir cette appréciation à tout le moins depuis le mois d’août 2013, la capacité de travail s’avérant restreinte à 50% auparavant, et de réviser son estimation dans un délai d’un an. La recourante s’est exprimée une nouvelle fois par correspondance du 17 novembre 2015, reprenant en substance les arguments précédemment développés, tout en s’étonnant au surplus des considérations du SMR quant à la non-applicabilité de la jurisprudence en matière de troubles somatoformes douloureux à son cas, puisque le qualificatif « idiopathique » attribué au diagnostic d’hypersomnie visait précisément à démontrer l’absence d’origine objectivable à ce trouble. Elle a par ailleurs souligné que les experts du Centre K.________ avaient pris en compte une capacité de travail de 70% dans une activité adaptée, et non pas dans son activité d’employée de commerce, ce qui impliquait de toute façon de concrétiser une telle activité en envisageant des mesures professionnelles. Elle a dès lors persisté dans les conclusions précédemment communiquées. En date du 19 janvier 2016, la recourante a fait parvenir à la Cour de céans un rapport établi le 8 décembre 2015 par son psychiatre traitant, le Dr H.________. Ce dernier, maintenant ses critiques à l’égard du rapport d’expertise du Centre K.________, a souligné les éléments suivants : « […] Mon évaluation clinique de l’état de santé de [l’assurée] reflète une évolution clinique stationnaire et compatible avec mes évaluations précédentes […]. Par ailleurs, je constate une certaine aggravation clinique de l’état de santé de la patiente après avoir essayé de travailler comme sommelière à 70% sans pouvoir continuer en raison d’un état d’épuisement lié en bonne partie à son trouble du sommeil idiopathique et à sa gestion déficiente du stress voire des émotions dans le cadre de sa personnalité émotionnellement labile. […] » Après communication de cette correspondance à l’intimé, la cause a été gardée à juger. Les faits seront au surplus repris dans la mesure utile dans le développement juridique infra.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24 avril 2015 contre la décision de l’OAI du 12 mars 2015 a été interjeté en temps utile, compte tenu des féries judiciaires pascales (cf. art. 38 al. 4 let. a LPGA, sur renvoi de l’art. 60 al. 2 LPGA). Les formalités prévues par la loi, au sens notamment de l’art. 61 let. b LPGA, ont été par ailleurs respectées. Le recours est en conséquence recevable de sorte qu’il y a lieu d’entrer en matière sur le fond. 2. Est litigieux in casu le droit de l’assurée à des prestations AI au motif d’atteintes à la santé d’ordre psychique et neurologique, que l’intimé a nié en supprimant, par décision du 12 mars 2015, la demi-rente d’invalidité précédemment allouée. Cette querelle s’inscrit dans le contexte d’une procédure de révision d’office du droit à la rente de l’assurée, entamée le 7 mai 2012 par l’OAI, consécutivement à une décision antérieure, datée du 8 décembre 2011, où lui avait été octroyée une demi-rente d’invalidité, à compter du 1 er novembre 2010, fondée sur un degré d’invalidité de 50%. Vu ces éléments, il s’agira en premier lieu de rappeler les principes régissant le réexamen des décisions entrées en force, puis dans un second temps d’examiner si les pièces médicales versées au dossier au stade de la procédure de révision, permettent de statuer sur le bien-fondé éventuel de la suppression de rente décidée le 12 mars 2015.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w:t>
      </w:r>
    </w:p>
    <w:p>
      <w:r>
        <w:rPr>
          <w:b/>
        </w:rPr>
        <w:t>E. 17</w:t>
      </w:r>
    </w:p>
    <w:p>
      <w:r>
        <w:t>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c) Selon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L’art. 88bis al. 2 RAI précise que la diminution ou la suppression de la rente, de l’allocation pour impotent ou de contribution d’assistance prend effet au plus tôt le premier jour du deuxième mois qui suit la notification de la décision (let. a). d)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 Il convient ainsi de déterminer si une amélioration de l’état de santé de la recourante est effectivement intervenue depuis la précédente décision au fond, soit depuis le 8 décembre 2011. On vouera une attention particulière dans ce contexte à la teneur du rapport d’expertise du Centre K.________ du 10 janvier 2014 et à son complément du 22 janvier 2015, en examinant la valeur probante de ces pièces et en les confrontant aux rapports établis par les spécialistes traitants de l’assurée. L’intimé, respectivement le SMR, s’est en effet essentiellement basé sur les conclusions des experts du Centre K.________ pour considérer dans un premier temps que l’assurée ne présentait plus d’atteinte à la santé invalidante depuis octobre 2013, avant de retenir dans un deuxième temps que la recourante, souffrant certes d’une hypersomnie idiopathique, était cependant dotée d’une capacité de travail de 70% dans une activité adaptée à ses limitations fonctionnelles, compte tenu d’une baisse de rendement de 30% liée aux risques d’endormissement. Ce faisant, l’OAI est revenu sur son appréciation fondant la décision du 12 mars 2015 où il avait qualifié de non-invalidante l’hypersomnie idiopathique diagnostiquée auprès de la recourante, après analyse en vertu de la jurisprudence fédérale rendue en matière de troubles somatoformes douloureux, tout en excluant la présence de troubles psychiques incapacitants. Il considère désormais, à l’instar du SMR dans son avis du 16 octobre 2015, que dite jurisprudence ne serait pas applicable, faute de pouvoir nier toute cause organique à l’hypersomnie. Le recourante, pour sa part, soutient que l’hypersomnie l’affectant n’a pas d’origine connue, ce qui implique précisément l’application de la jurisprudence fédérale évoquée. Elle estime par ailleurs que cette affection remplit la totalité des critères dégagés par la récente jurisprudence du Tribunal fédéral relative aux troubles somatoformes douloureux. Cette hypersomnie est au demeurant accompagnée de troubles psychiques présents de longue date, dont l’impact aurait été manifestement sous-évalué par les experts du Centre K.________. Il s’agit à ce stade de rappeler les dispositions légales relatives à la notion d’invalidité, la jurisprudence rendue en matière de troubles psychiques et de trouble somatoformes douloureux, ainsi que les règles régissant l’appréciation des pièces médicales.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4.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consid. 4), le syndrome de fatigue chronique ou de neurasthénie (TF I 70/07 du 14 avril 2008 consid. 4) ou encore l’hypersomnie non organique (ATF 137 V 64 consid. 4 ; TF 9C_625/2015 du 17 novembre 2015 consid. 4.2.4).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b)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6. a) En l’espèce, l’assurée a été examinée au sein du Centre K.________ sur les plans neurologique, psychique et de médecine interne, afin de déterminer si son état de santé s’était modifié depuis la décision initiale du 8 décembre 2011. Il n’est au demeurant pas contesté que la recourante n’a présenté aucune atteinte à la santé du registre de la médecine interne qui serait de nature à entraver sa capacité de travail. La prestation servie par la décision du 8 décembre 2011, soit une demi-rente d’invalidité, fondée sur un taux d’invalidité de 50%, a été accordée en raison du diagnostic de « trouble de la personnalité émotionnellement labile, type borderline, décompensée » que le Dr C.________ estimait incapacitant à 50% dès le 1 er avril 2010 (cf. rapports médicaux de ce spécialiste des 26 juillet 2010 et 24 décembre 2010). Les consultations de la recourante auprès du Dr C.________ ont toutefois été interrompues dès fin 2011, la prise en charge ayant été assumée par le Dr H.________ dès le 6 juin 2012. Celui-ci a mis en place une psychothérapie cognitivo-comportementale et prescrit un traitement homéopathique succédant à un traitement à base de Fluoxétine. A l’issue du rapport du Dr H.________ du 3 septembre 2012, ont été posés les diagnostics de « personnalité émotionnellement labile, type borderline » existant depuis la fin de l’adolescence, soit un diagnostic identique à celui envisagé par le Dr C.________, ainsi que ceux incapacitants de « trouble dépressif récurrent, épisode actuel moyen » existant depuis plusieurs années et de « syndrome narcoleptique de type hypersomnie idiopathique ». Le Dr H.________ a également relevé une « agoraphobie avec trouble panique » sans influence sur la capacité de travail. Il a attesté d’une incapacité de travail totale depuis le 1 er janvier 2012, en dépit d’une prise en charge débutée postérieurement en juin 2012, susceptible de durer encore une année dès septembre 2012. Quant au médecin généraliste traitant, le Dr B.________, il a de son côté envisagé une incapacité totale de travail depuis décembre 2011 en raison de l’ensemble des difficultés rencontrées par sa patiente, à savoir du fait de ses problèmes de sommeil et de ses troubles psychiques. b) S’agissant de l’état de santé psychique de la recourante, force est de constater que les observations du Centre K.________, singulièrement du Dr M.________, ne vont pas à l’encontre des appréciations des Drs C.________ et H.________. On retrouve notamment le diagnostic de « personnalité émotionnellement labile de type borderline », l’expert M.________ ayant exposé de manière convaincante pour quelles raisons ce trouble n’était plus incapacitant. Il a notamment relaté les éléments attestant d’une évolution favorable et d’une amélioration notable de la situation (cf. rapport d’expertise du Centre K.________ du 10 janvier 2014, p. 15 in fine, ainsi que complément du 22 janvier 2015). Par ailleurs, l’expert du Centre K.________ n’a nullement remis en cause le diagnostic de « trouble dépressif récurrent » posé par le passé, se limitant à constater à la date de son examen la rémission de cette problématique, confirmée tant par ses investigations cliniques que par les éléments d’anamnèse communiqués par l’assurée. On notera d’ailleurs à cet égard que le Dr C.________ pronostiquait lui-même l’évolution favorable de l’état de santé psychique de l’assurée dans un intervalle de deux ans selon son rapport médical du 26 juillet 2010, ce que corroborait son rapport subséquent du 24 décembre 2010. Quant au Dr H.________, il a maintenu que sa patiente avait présenté une incapacité totale de travail entre septembre 2012 et septembre 2013, ainsi que la recourante l’a elle-même allégué, sans toutefois se prononcer sur l’évolution de ladite capacité au terme de cette période. Il s’est limité à réitérer une incapacité de travail complète du fait du trouble de la personnalité et du trouble dépressif, sans toutefois étayer ou objectiver son appréciation, celle-ci n’étant pas clairement fondée sur la réalisation des critères définis par la classification internationale des maladies (CIM-10). Il ne s’est pas davantage exprimé quant aux incidences de l’hypersomnie idiopathique sur la capacité de travail de sa patiente. S’agissant de l’avis du Dr B.________, ce praticien procédant d’une estimation globale, il n’a pas fourni les caractéristiques psychiques qui justifieraient une incapacité de travail spécifique de ce registre. Au demeurant, le Centre K.________ s’est exprimé de manière circonstanciée et convaincante en date du 22 janvier 2015, par l’intermédiaire du Dr M.________, sur les griefs soulevés par le Dr H.________ à l’encontre du rapport d’expertise du 10 janvier 2014. A l’inverse du spécialiste traitant, le Dr M.________ a communiqué ses constats cliniques objectifs pour justifier l’absence d’incapacité de travail et de limitations fonctionnelles sur le plan psychique, ainsi que pour s’écarter du point de vue du médecin traitant. On ne voit pas de raison de mettre en doute les conclusions du Centre K.________ sous l’angle psychique, dans la mesure où les rapports des 10 janvier 2014 et 22 janvier 2015 apparaissent complets, fondés sur une analyse minutieuse de l’ensemble des pièces du dossier de l’assurée et des éléments pertinents de son anamnèse. Résultant d’investigations cliniques approfondies, ils sont en outre exempts de contradictions, de sorte que l’appréciation de la situation psychique de l’assurée, telle que communiquée par le Centre K.________, a lieu d’être suivie. c) Il n’en va en revanche pas de même du point de vue neurologique, où l’instruction doit être qualifiée en l’état de lacunaire, au vu des imprécisions afférentes au diagnostic d’une « hypersomnie idiopathique ». S’agissant des troubles du sommeil, la CIM-10 distingue spécifiquement les troubles du sommeil (G.47) – dont font partie les troubles du sommeil par somnolence excessive (hypersomnies ; G47.1) et la narcolepsie (G47.4) – des troubles du sommeil non organiques (F51), ces derniers pouvant constituer des symptômes d’un trouble psychique ou physique. La CIM-10 précise dans ce cadre que l’hypersomnie non organique (F51.1) est « habituellement attribuable à un trouble mental ». In casu, la recourante présente un trouble du sommeil, diagnostiqué pour la première fois par le Dr F.________ en février 2011, lequel a mentionné un « léger syndrome narcoleptique de type hypersomnie idiopathique ». Le Dr H.________ a repris cette problématique la classifiant sous chiffre G47.4. Cette référence s’avère ambiguë dans la mesure où, si un trouble du sommeil appartenant à la classification englobée sous G47, soit à la narcolepsie, était confirmé, la jurisprudence relative aux troubles somatoformes douloureux, à laquelle il convient de se référer en cas d’hypersomnie non organique (F51.1), ne serait alors pas applicable. Certes, le syndrome mis en évidence auprès de l’assurée est systématiquement décrit comme étant « de type hypersomnie idiopathique » ou de cause inconnue, tandis que le Dr P.________ a expressément relaté « l’absence d’arguments pour une narcolepsie » (cf. rapport de ce spécialiste du 27 mai 2013). Ces éléments tendraient à corroborer une hypersomnie classée sous les troubles du sommeil non organiques (F51), ce qui, à l’inverse, impliquerait l’application de la jurisprudence fédérale concernant les troubles somatoformes douloureux. Cela étant, on ne dispose à ce stade d’aucune certitude quant à la pathologie effectivement présentée par l’assurée. Sur cet aspect, les experts du Centre K.________ se limitent à mentionner une « hypersomnie idiopathique d’importance modérée à moyenne, présente depuis 2010 » sans autre référence à la classification CIM-10. Quand bien même les experts du Centre K.________ se sont fondés sur les rapports du Dr P.________ des 27 mai 2013 et 22 août 2013, on ne peut – sans précision chiffrée basée sur la CIM-10 – conclure définitivement à une « hypersomnie sans cause organique » à laquelle il conviendrait d’appliquer la jurisprudence afférente aux troubles somatoformes douloureux. On ajoutera que le Dr P.________ a observé des éléments inhabituels dans le cas de la recourante – à savoir la fragmentation importante du sommeil et la diminution de son efficacité – préconisant la répétition d’une polysomnographie dans le but de rechercher une autre pathologie du sommeil (cf. rapport du 27 mai 2013). Le Centre K.________ a pour sa part renoncé à un tel examen au vu des investigations récentes du Dr P.________ sans discuter plus avant les doutes évoqués par ce spécialiste. C’est le lieu enfin de mettre en exergue à titre superfétatoire la position contradictoire du SMR quant à l’applicabilité ou non de ladite jurisprudence, étant rappelé que ce service a tout d’abord considéré l’hypersomnie idiopathique affectant l’assurée comme non invalidante à l’aune des critères jurisprudentiels (cf. rapport du SMR du 6 février 2014), avant de nier la pertinence de ces critères in casu (cf. rapport du SMR du 16 octobre 2015). d) Au demeurant, même si le diagnostic d’une « hypersomnie non organique » devait être retenu en l’occurrence, il ne serait pas possible en l’état de procéder à l’examen des critères requis par le Tribunal fédéral dans sa récente jurisprudence sur les troubles somatoformes douloureux, les éléments pertinents pour une telle analyse n’étant pas développés à satisfaction dans le rapport d’expertise du Centre K.________. e) Indépendamment de ce qui précède, la valeur probante de ce document peut de toute façon être mise en doute au vu des incertitudes contenues en lien avec l’appréciation de la capacité de travail de l’assurée. En page 15 de leur rapport d’expertise du 10 janvier 2014, les experts indiquent que ladite capacité de travail serait « d’au minimum 50% » depuis les manifestations de l’affection neurologique, cette évaluation étant opérée sans tenir compte de l’incapacité de travail prononcée pour des motifs psychiques. Cela étant, ils retiennent une capacité de travail « d’au moins 70% », avec diminution de rendement de 30%, dans « une activité sans position assise constante », soit une activité adaptée, ce qui correspondrait à une capacité de travail de l’ordre de 50%. Néanmoins, ils concluent en définitive à une « capacité de travail de 50% dans l’activité habituelle » et de « 70% dans une activité adaptée » sans plus retenir de diminution de rendement. Dans leurs réponses aux questions spécifiques de l’OAI, en page 18 du rapport d’expertise du 10 janvier 2014, l’appréciation de la capacité de travail opérée par les experts apparaît derechef peu claire, voire carrément contradictoire, en ce qu’ils relatent une capacité de 50% dans « l’activité habituelle d’employée de commerce », tout en indiquant une capacité de travail de 70% « dans l’activité exercée jusqu’alors », prenant en sus en compte une diminution de rendement de 30%. Vu ces éléments, il est en l’état impossible de se prononcer définitivement sur la capacité de travail dont est effectivement dotée la recourante, ainsi que sur le caractère incapacitant du trouble du sommeil qu’elle présente. 8. Etant donné les carences dont souffre le dossier de la cause sur le plan médical, on ne peut statuer sur une éventuelle amélioration de l’état de santé de l’assurée depuis la décision du 8 décembre 2011, un complément d’instruction devant incontestablement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incombe à l’OAI de procéder à l’ensemble des mesures d’instruction permettant d’élucider la situation médicale de la recourante. Singulièrement, il lui appartient de procéder à un complément d’expertise en vue d’éclaircir la nature du trouble du sommeil – organique ou non – dont est affectée la recourante. Si ce complément devait démontrer le défaut de cause organique de l’hypersomnie idiopathique, il devrait encore contenir les éléments permettant de se déterminer eu égard à la jurisprudence fédérale relative aux troubles somatoformes douloureux contenues in ATF 141 V 281. Enfin, il s’agira de clarifier la capacité de travail effective de l’assurée compte tenu de son état de santé global, ainsi que de se prononcer sur l’évolution de cette capacité depuis la décision initiale d’octroi de rente du 8 décembre 2011. Ce n’est qu’à l’issue de ce complément d’expertise que pourra être déterminé si un motif de réexamen de la situation de l’assurée, qui serait survenu depuis cette dernière date, est ou non avéré en l’occurrence. 9.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3'500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