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62/20 - 133/2020 vom 23. November 2020</w:t>
      </w:r>
    </w:p>
    <w:p>
      <w:r>
        <w:t>VD Tribunal cantonal, 2020-11-23, FR</w:t>
      </w:r>
    </w:p>
    <w:p>
      <w:r>
        <w:rPr>
          <w:b/>
        </w:rPr>
        <w:t xml:space="preserve">Quelle: </w:t>
      </w:r>
      <w:r>
        <w:t>https://mcp.opencaselaw.ch/entscheid/vd_findinfo_ACH_62_20_-_133_2020</w:t>
      </w:r>
    </w:p>
    <w:p>
      <w:r>
        <w:t>FR: VD_FINDINFO ACH 62/20 - 133/2020 du 23 novembre 2020</w:t>
      </w:r>
    </w:p>
    <w:p>
      <w:r>
        <w:t>IT: VD_FINDINFO ACH 62/20 - 133/2020 del 23 novembre 2020</w:t>
      </w:r>
    </w:p>
    <w:p>
      <w:pPr>
        <w:pStyle w:val="Heading2"/>
      </w:pPr>
      <w:r>
        <w:t>Regeste</w:t>
      </w:r>
    </w:p>
    <w:p>
      <w:r>
        <w:t>REJET DE LA DEMANDE, RESTITUTION{EN GÉNÉRAL}, PRESTATION D'ASSURANCE INDUE, REFORMATIO IN PEJUS, PARLEMENT CANTONAL, CALCUL, SALAIRE DÉTERMINANT, GAIN ASSURÉ, INDEMNITÉ DE CHÔMAGE | 22 LACI, 23 LACI, 24 LACI, 25 al. 1 LPGA, 52 al. 3 LPGA, 53 LPGA, 61 let. d LPGA, 40a OACI, 41a al. 1 OACI, 5 RAVS, 7 RAVS</w:t>
      </w:r>
    </w:p>
    <w:p>
      <w:pPr>
        <w:pStyle w:val="Heading2"/>
      </w:pPr>
      <w:r>
        <w:t>Erwägungen</w:t>
      </w:r>
    </w:p>
    <w:p>
      <w:r>
        <w:rPr>
          <w:b/>
        </w:rPr>
        <w:t>E. 23</w:t>
      </w:r>
    </w:p>
    <w:p>
      <w:r>
        <w:t>novembre 2020 _______________________ Composition :               M. Piguet , président Mmes Röthenbacher et Pasche, juges Greffier : M.              Addor ***** Cause pendante entre : W.________ , à J.________, recourante, représentée par Me Rachel Cavargna-Debluë, avocate à Lausanne, et UNIA Caisse de chômage , à Lausanne, intimée. _______________ Art.</w:t>
      </w:r>
    </w:p>
    <w:p>
      <w:r>
        <w:rPr>
          <w:b/>
        </w:rPr>
        <w:t>E. 25</w:t>
      </w:r>
    </w:p>
    <w:p>
      <w:r>
        <w:t>pour le mois de février 2019 et de 330 fr. 35 pour le mois de juin 2019, soit un montant total de 2'687 francs. cc) Le montant que la recourante doit restituer à l’intimée pour la période litigieuse s’élève par conséquent à 2'005 fr. 95. e) Le montant dû par la recourante au titre de la restitution est supérieur au montant de 1'421 fr. 20 réclamé par l’intimée dans sa décision sur opposition du 18 mars 2020. Cette issue aboutit par conséquent à un résultat qui est moins favorable pour la recourante. Conformément à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Cela implique que la personne concernée soit expressément informée de cette possibilité afin d'évaluer les mesures à prendre en toute connaissance de cause (ATF 137 V 314). En l’occurrence, la recourante a expressément été rendu attentive à la possibilité d’une reformatio in pejus par courrier du juge instructeur du 14 octobre 2020, lequel lui a imparti un délai de 15 jours afin de prendre position, cas échéant de retirer son recours. A la suite de ce courrier, la recourante a, par lettre du 29 octobre 2020, expressément déclaré maintenir son recours. 9. Compte tenu des constats auxquels il a été procédé dans le présent arrêt, il convient d’inviter l’intimée à réexaminer la situation concernant les indemnités dues pour la période postérieure au mois de juin 2019. 10. Dans les conclusions prises à l’appui de son recours, la recourante a également conclu à l’octroi d’une indemnité de dépens pour ses frais de défense dans le cadre de la procédure d’opposition. Or, s'il est vrai que la recourante était assistée d'un mandataire professionnel dans le cadre de la procédure devant l'intimée, il y a lieu de relever, d'une part, qu'il n'est en général pas alloué de dépens dans le cadre de la procédure d'opposition (art. 52 al. 3 LPGA) et, d'autre part, que la recourante n'a au final pas obtenu gain de cause, que ce soit dans la procédure d’opposition ou dans la procédure de recours. Dans cette mesure, elle ne saurait prétendre à une quelconque indemnité en remboursement de ses frais d'avocat. 11. a) Sur le vu de ce qui précède, le recours, mal fondé, doit être rejeté et la décision sur opposition rendue par l’intimée le 18 mars 2020 réformée en ce sens que le gain assuré est fixé à 5'181 fr. dès le 1 er janvier 2019 et à 2'378 fr. dès le 4 juin 2019 et que les prestations versées en trop à hauteur de 2'005 fr. 95 doivent être restituées. L’issue du recours rend sans objet la requête d’effet suspensif. b) Il n'y a pas lieu de percevoir de frais judiciaires, la procédure étant gratuite (art. 61 let. a LPGA), ni d'allouer de dépens, dès lors que la recourante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