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55/19 - 202/2019 vom 25. November 2019</w:t>
      </w:r>
    </w:p>
    <w:p>
      <w:r>
        <w:t>VD Tribunal cantonal, 2019-11-25, FR</w:t>
      </w:r>
    </w:p>
    <w:p>
      <w:r>
        <w:rPr>
          <w:b/>
        </w:rPr>
        <w:t xml:space="preserve">Quelle: </w:t>
      </w:r>
      <w:r>
        <w:t>https://mcp.opencaselaw.ch/entscheid/vd_findinfo_ACH_55_19_-_202_2019</w:t>
      </w:r>
    </w:p>
    <w:p>
      <w:r>
        <w:t>FR: VD_FINDINFO ACH 55/19 - 202/2019 du 25 novembre 2019</w:t>
      </w:r>
    </w:p>
    <w:p>
      <w:r>
        <w:t>IT: VD_FINDINFO ACH 55/19 - 202/2019 del 25 novembre 2019</w:t>
      </w:r>
    </w:p>
    <w:p>
      <w:pPr>
        <w:pStyle w:val="Heading2"/>
      </w:pPr>
      <w:r>
        <w:t>Regeste</w:t>
      </w:r>
    </w:p>
    <w:p>
      <w:r>
        <w:t>ABANDON D'EMPLOI | 17 LACI</w:t>
      </w:r>
    </w:p>
    <w:p>
      <w:pPr>
        <w:pStyle w:val="Heading2"/>
      </w:pPr>
      <w:r>
        <w:t>Erwägungen</w:t>
      </w:r>
    </w:p>
    <w:p>
      <w:r>
        <w:rPr>
          <w:b/>
        </w:rPr>
        <w:t>E. 25</w:t>
      </w:r>
    </w:p>
    <w:p>
      <w:r>
        <w:t>novembre 2019 __________________ Composition :               M. Piguet , juge unique Greffier : M.              Favez ***** Cause pendante entre : A.________ , à [...], recourant, et Caisse cantonale de chômage , à Lausanne, intimée. _______________ Art.</w:t>
      </w:r>
    </w:p>
    <w:p>
      <w:r>
        <w:rPr>
          <w:b/>
        </w:rPr>
        <w:t>E. 30</w:t>
      </w:r>
    </w:p>
    <w:p>
      <w:r>
        <w:t>LACI). Cela étant, le Tribunal fédéral a jugé que la durée de la suspension du droit à l'indemnité de chômage doit être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particulier (ATF 130 V 125 consid. 3.5). b) En l’espèce, le recourant a donné à son employeur un motif de résilier le contrat de travail en refusant les nouveaux horaires de travail, ce qui devrait être assimilé à un chômage fautif au sens des art. 30 al. 1 let. a LACI et 44 al. 1 let. a OACI. Toutefois, en retenant une faute moyenne, conformément à ce que prévoit l’art. 45 al. 3 let. b OACI, et non pas une faute grave sanctionnant le cas de perte de travail fautive, la caisse intimée a qualifié la faute de manière adéquate, eu égard notamment au fait que le recourant a œuvré à la pleine satisfaction de son employeur et qu’il s’est retrouvé confronté au dilemme de la perte de son emploi ou de ne pas poursuivre la formation complémentaire entamée pour laquelle il avait d’ores et déjà investi une somme importante qui aurait été perdue. En définitive et compte tenu des circonstances particulières décrites ci-dessus, la suspension de 16 jours pour faute moyenne qui a été infligée au recourant respecte le principe de proportionnalité, de sorte qu'elle doit être confirmée. 5. a) En définitive, le recours, mal fondé, doit être rejeté, ce qui entraîne la confirmation de la décision litigieuse. Il n’y a pas lieu de percevoir de frais judiciaires, la procédure étant gratuite (art. 61 let. a LPGA), ni d’allouer de dépens, dès lors que la recourante n’obtient pas gain de cause (art. 61 let. g LPGA). Par ces motifs, le juge unique prononce : I. Le recours est rejeté. II. La décision sur opposition rendue le 27 février 2019 par la Caisse cantonale de chômage est confirmée. III. Il n’est pas perçu de frais judiciaires, ni alloué de dépens. Le juge unique :               Le greffier : Du L'arrêt qui précède est notifié à : ‑ A.________ (recourant), ‑ Caisse cantonale de chômage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