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55/10 - 89/2011 vom 14. Juli 2011</w:t>
      </w:r>
    </w:p>
    <w:p>
      <w:r>
        <w:t>VD Tribunal cantonal, 2011-07-14, FR</w:t>
      </w:r>
    </w:p>
    <w:p>
      <w:r>
        <w:rPr>
          <w:b/>
        </w:rPr>
        <w:t xml:space="preserve">Quelle: </w:t>
      </w:r>
      <w:r>
        <w:t>https://mcp.opencaselaw.ch/entscheid/vd_findinfo_ACH_55_10_-_89_2011</w:t>
      </w:r>
    </w:p>
    <w:p>
      <w:r>
        <w:t>FR: VD_FINDINFO ACH 55/10 - 89/2011 du 14 juillet 2011</w:t>
      </w:r>
    </w:p>
    <w:p>
      <w:r>
        <w:t>IT: VD_FINDINFO ACH 55/10 - 89/2011 del 14 luglio 2011</w:t>
      </w:r>
    </w:p>
    <w:p>
      <w:pPr>
        <w:pStyle w:val="Heading2"/>
      </w:pPr>
      <w:r>
        <w:t>Regeste</w:t>
      </w:r>
    </w:p>
    <w:p>
      <w:r>
        <w:t>RECHERCHE DE TRAVAIL INSUFFISANTE, SUSPENSION DU DROIT À L'INDEMNITÉ | 30 al. 1 let. a LACI, 44 al. 1 let. a OACI</w:t>
      </w:r>
    </w:p>
    <w:p>
      <w:pPr>
        <w:pStyle w:val="Heading2"/>
      </w:pPr>
      <w:r>
        <w:t>Erwägungen</w:t>
      </w:r>
    </w:p>
    <w:p>
      <w:r>
        <w:rPr>
          <w:b/>
        </w:rPr>
        <w:t>E. 1</w:t>
      </w:r>
    </w:p>
    <w:p>
      <w:r>
        <w:t>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w:t>
      </w:r>
    </w:p>
    <w:p>
      <w:r>
        <w:rPr>
          <w:b/>
        </w:rPr>
        <w:t>E. 2</w:t>
      </w:r>
    </w:p>
    <w:p>
      <w:r>
        <w:t>En l'espèce, est litigieux le caractère fautif – au sens de l'assurance-chômage – de la perte d'emploi subie par la recourante.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(cf. Boris Rubin, Assurance-chômage, 2 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 4.2 et les références citées); même hors des cas de violation des obligations contractuelles, l'assuré encourt une sanction lorsqu'il aurait pu éviter un comportement donné en faisant preuve de la diligence voulue (cf. Rubin, op. cit., n° 5.8.11.4.2 p. 432 et les références citées).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 1 et les références citées; cf. Circulaire du Secrétariat d'Etat à l'économie relative à l'indemnité de chômage, état au 1 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 3 et références citées; cf. IC 2007 D20), tel un avertissement écrit de l'employeur.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tiennent à un manque de volonté ou d'intérêt, à la volonté délibérée d'enfreindre certaines directives ou à un comportement inadéquat que l'intéressé était à même d'éviter, respectivement de corriger (cf. Tribunal administratif du canton de Vaud [TA], arrêt PS.2006.0269 du 12 septembre 2007 c. 2 et références citées).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c) En l’occurrence, la recourante ne conteste pas les reproches de son employeur s'agissant de ses arrivées tardives. Elle explique en revanche avoir été mobbée et dit qu’il faut savoir prendre en considération les réalités de la vie quotidienne. Elle se défend également d’avoir voulu obtenir indûment des indemnités de chômage. La recourante, qui admet elle-même être arrivée en retard et avoir été avertie à de multiples reprises pour ses arrivées tardives, a pris le risque de se faire licencier en renouvelant ce comportement à plusieurs reprises. Elle ne pouvait en effet ignorer avoir violé ses obligations contractuelles vis-à-vis de son employeur qui plaçait une grande importance dans la ponctualité de ses employés. Il sied de considérer que le fait de ne pas modifier son comportement malgré une mise en garde formelle de l'employeur exhortant son employée à mettre un terme à un comportement inadéquat constitue un comportement fautif au sens de l'assurance-chômage. Il ressort des faits ci-dessus que la rupture des liens de confiance est principalement due au comportement de la recourante, qui est à l'origine de son licenciement. Dès lors, la suspension du droit à des indemnités journalières de chômage est justifiée.</w:t>
      </w:r>
    </w:p>
    <w:p>
      <w:r>
        <w:rPr>
          <w:b/>
        </w:rPr>
        <w:t>E. 4</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b) Dans le cas présent, la recourante a persisté, en dépit d'avertissements, dans son comportement inadéquat, s’agissant d’arrivées tardives. Il s’agit là d'une faute moyennement grave, qui est directement à l’origine du licenciement et du chômage de l'intéressée. Compte tenu de l’ensemble de ces circonstances, une suspension du droit à l’indemnité pendant 16 jours ne relève pas d’un excès ou d’un abus du pouvoir d’appréciation laissé à la Caisse.</w:t>
      </w:r>
    </w:p>
    <w:p>
      <w:r>
        <w:rPr>
          <w:b/>
        </w:rPr>
        <w:t>E. 5</w:t>
      </w:r>
    </w:p>
    <w:p>
      <w:r>
        <w:t>Le recours doit ainsi être rejeté et la décision attaquée confirmée. Il ne se justifie pas de percevoir d'émolument judiciaire, la procédure étant gratuite (cf. art. 61 let. a LPGA), ni d'allouer d'indemnité à titre de dépens. Par ces motifs, le juge unique prononce : I. Le recours est rejeté. II. La décision rendue le 14 janvier 2010 par la Caisse cantonale de chômage est confirmée. III. Il est statué sans frais, ni dépens. Le juge unique :               Le greffier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