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4/17 - 129/2017 vom 26. Juni 2017</w:t>
      </w:r>
    </w:p>
    <w:p>
      <w:r>
        <w:t>VD Tribunal cantonal, 2017-06-26, FR</w:t>
      </w:r>
    </w:p>
    <w:p>
      <w:r>
        <w:rPr>
          <w:b/>
        </w:rPr>
        <w:t xml:space="preserve">Quelle: </w:t>
      </w:r>
      <w:r>
        <w:t>https://mcp.opencaselaw.ch/entscheid/vd_findinfo_ACH_4_17_-_129_2017</w:t>
      </w:r>
    </w:p>
    <w:p>
      <w:r>
        <w:t>FR: VD_FINDINFO ACH 4/17 - 129/2017 du 26 juin 2017</w:t>
      </w:r>
    </w:p>
    <w:p>
      <w:r>
        <w:t>IT: VD_FINDINFO ACH 4/17 - 129/2017 del 26 giugno 2017</w:t>
      </w:r>
    </w:p>
    <w:p>
      <w:pPr>
        <w:pStyle w:val="Heading2"/>
      </w:pPr>
      <w:r>
        <w:t>Regeste</w:t>
      </w:r>
    </w:p>
    <w:p>
      <w:r>
        <w:t>CHÔMAGE IMPUTABLE À UNE FAUTE DE L'ASSURÉ, SUSPENSION DU DROIT À L'INDEMNITÉ, DROIT D'ÊTRE ENTENDU | 30 al. 1 let. a LACI, 44 al. 1 let. a OACI</w:t>
      </w:r>
    </w:p>
    <w:p>
      <w:pPr>
        <w:pStyle w:val="Heading2"/>
      </w:pPr>
      <w:r>
        <w:t>Erwägungen</w:t>
      </w:r>
    </w:p>
    <w:p>
      <w:r>
        <w:rPr>
          <w:b/>
        </w:rPr>
        <w:t>E. 7</w:t>
      </w:r>
    </w:p>
    <w:p>
      <w:r>
        <w:t>La suspension étant fondée dans son principe, il convient de qualifier la faute, puis de se prononcer sur la quotité de la suspension. a) La durée de la suspension est proportionnelle à la gravité de la faute (art. 30 al. 3 LACI, troisième phrase). Ainsi, en cas de faute légère, la durée de la suspension est de un à quinze jours, de seize à trente jours en cas de faute de gravité moyenne et de trente et un à soixante jours en cas de faute grave (art. 45 al. 3 let. a à c OACI). Il y a faute grave lorsque l'assuré a abandonné un emploi réputé convenable sans être assuré de trouver un nouvel emploi ou lorsqu'il refuse un emploi réputé convenable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 ATF 137 V 71 consid. 5.2 ; TF 8C_537/2013 du 16 avril 2014 consid. 5.2 et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la Haute Cour, le Conseil fédéral n'aurait pas énuméré exhaustivement les cas de faute grave (TFA C 73/99 du 1 er octobre 1999 consid. 2 a). Dans les cas de faute grave, la jurisprudence a indiqué qu'il convenait de partir du milieu de la fourchette et de diminuer le nombre de jours de sanction ou de l'augmenter en fonction des circonstances atténuantes ou aggravantes (ATF 123 V 150 consid. 3c ; Boris Rubin, op. cit., n. 118 et 119 ad. art. 30). b) En l'occurrence, l'intimée a qualifié la faute commise de moyenne et a suspendu la recourante dans l'exercice de son droit à l'indemnité chômage pour une durée de seize jours à compter du 1 er septembre 2016. En retenant une faute moyenne, l'intimée a appliqué une sanction plus clémente que celle retenue généralement tant par l'administration que par les tribunaux en application de l'art. 44 al. 1 let. a OACI (cf. consid. 7a supra ). La qualification de la faute, eu égard au comportement de l'intéressée qui a donné à son employeur un motif de résiliation du contrat de travail (cf. consid. 5 supra ), ne prête cependant pas flanc à la critique. La suspension de seize jours est située à l'extrémité inférieure de la fourchette prévue par l'art. 30 al. 3 LACI en cas de faute de gravité moyenne. Une suspension aussi courte en cas de perte fautive d'emploi est favorable à la recourante. Il n'y a toutefois pas lieu de remettre en cause l'appréciation de l’intimée, selon laquelle les circonstances du cas d'espèce justifiaient de ne retenir qu'une faute de gravité moyenne et de fixer la quotité de la suspension au minimum prévu pour de telles fautes. Il s'ensuit que l'intimée n'a pas abusé de son pouvoir d'appréciation ni contrevenu au principe de la proportionnalité en suspendant la recourante pendant seize jours dans son droit à l'indemnité chômage.</w:t>
      </w:r>
    </w:p>
    <w:p>
      <w:r>
        <w:rPr>
          <w:b/>
        </w:rPr>
        <w:t>E. 8</w:t>
      </w:r>
    </w:p>
    <w:p>
      <w:r>
        <w:t>a) En définitive, le recours, mal fondé, doit être rejeté et la décision attaquée confirmée. b) Il n'y a pas lieu de percevoir de frais judiciaires, la procédure étant gratuite (art. 61 let. a LPGA), ni d'allouer de dépens, dès lors que la recourante – au demeurant non représentée – n'a pas eu gain de cause (art. 61 let. g LPGA). Par ces motifs, la juge unique prononce : I. Le recours est rejeté. II. La décision sur opposition rendue le 9 décembre 2016 par la Caisse cantonale de chômage, Division juridique, est confirmée. III. Il n’est pas perçu de frais judiciaires, ni alloué de dépens. La juge unique :               La greffière : Du L'arrêt qui précède est notifié à : ‑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