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42/20 - 34/2021 vom 11. März 2021</w:t>
      </w:r>
    </w:p>
    <w:p>
      <w:r>
        <w:t>VD Tribunal cantonal, 2021-03-11, FR</w:t>
      </w:r>
    </w:p>
    <w:p>
      <w:r>
        <w:rPr>
          <w:b/>
        </w:rPr>
        <w:t xml:space="preserve">Quelle: </w:t>
      </w:r>
      <w:r>
        <w:t>https://mcp.opencaselaw.ch/entscheid/vd_findinfo_ACH_42_20_-_34_2021</w:t>
      </w:r>
    </w:p>
    <w:p>
      <w:r>
        <w:t>FR: VD_FINDINFO ACH 42/20 - 34/2021 du 11 mars 2021</w:t>
      </w:r>
    </w:p>
    <w:p>
      <w:r>
        <w:t>IT: VD_FINDINFO ACH 42/20 - 34/2021 del 11 marzo 2021</w:t>
      </w:r>
    </w:p>
    <w:p>
      <w:pPr>
        <w:pStyle w:val="Heading2"/>
      </w:pPr>
      <w:r>
        <w:t>Regeste</w:t>
      </w:r>
    </w:p>
    <w:p>
      <w:r>
        <w:t>ABANDON D'EMPLOI, SUSPENSION DE LA PRESTATION D'ASSURANCE, LOI SUR L'ASSURANCE CHÔMAGE, REFUS D'UN TRAVAIL CONVENABLE, REJET DE LA DEMANDE | 30 al. 1 let. a LACI, 44 al. 1 let. b OACI, 45 al. 3 OACI</w:t>
      </w:r>
    </w:p>
    <w:p>
      <w:pPr>
        <w:pStyle w:val="Heading2"/>
      </w:pPr>
      <w:r>
        <w:t>Erwägungen</w:t>
      </w:r>
    </w:p>
    <w:p>
      <w:r>
        <w:rPr>
          <w:b/>
        </w:rPr>
        <w:t>E. 5</w:t>
      </w:r>
    </w:p>
    <w:p>
      <w:r>
        <w:t>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16 avril 2008 consid. 2.1.2).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b) 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let. b OACI). Tel est notamment le cas s’il peut se fonder sur un motif de santé, attesté au besoin de façon circonstanciée sur la base d’un certificat médical ou d’un autre moyen de preuve approprié; si néanmoins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(Boris Rubin, Assurance-chômage, Droit fédéral, Survol des mesures cantonales, Procédure, 2e éd., Zurich/Bâle/Genève 2006, p. 442). En dehors de ces circonstances particulières, le motif de suspension de l'art. 30 al. 1 let. a LACI en liaison avec l'art. 44 al. 1 let. b OACI est constitutif d'une faute grave (art. 45 al. 3 OACI). Il y a en principe faute grave lorsque l'assuré abandonne un emploi réputé convenable sans être assuré d'obtenir un nouvel emploi ou lorsqu'il refuse un emploi réputé convenable sans motif valable (art. 45 al. 3 OACI) ; demeurent toutefois réservées des circonstances particulières faisant apparaître, dans le cas concret, la faute comme plus légère ( ATF 130 V 125 ). Il existe des circonstances atténuantes légitimant une réduction de la sanction (voir par exemple l'arrêt du Tribunal fédéral des assurances du 20 avril 2001, C 155/00, où ce tribunal a retenu l'existence d'une faute légère dans le cas d'une assurée qui avait résilié son contrat de travail à la suite de remarques de nature sexuelle, établies et répétées, de la part de son supérieur hiérarchique) (Rubin, Assurance-chômage et service public de l’emploi, 2019, n. 504 p. 105). Il faut qu’aucune circonstance ne se soit opposée à la poursuite des rapports de travail (critère de l’exigibilité). D’après la jurisprudence, les circonstances pouvant justifier l’abandon d’un emploi doivent être admises de façon restrictive (cf. arrêt du TF 8C_510/2017 du 22 février 2018 consid.3.1 et les références citées). Lorsque l’assuré donne son congé pour un motif de santé, il lui appartient d’établir clairement, en particulier au moyen d’un certificat médical clair («eindeutig»), que la continuation des rapports de travail était de nature à mettre sa santé en danger (cf. ATF 124 V 234 consid. 4b/bb; arrêts du TF 8C_513/2018 du 7 novembre 2018 consid. 2.2, 8C_107/2018 du 7 août 2018 consid. 5, 8C_66/2017 du 9 juin 2017 consid. 4.3; arrêts du TAF B-1542/2019 du 28 octobre 2019 consid. 5.1.2). La compatibilité d’un emploi avec l’état de santé s'apprécie non pas par rapport à ce que pourrait ressentir un assuré mais sur la base de certificats médicaux (TFA C 151/03 du 3 octobre 2003 consid. 2.3.2 et la référence citée).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 un certificat médical dont le contenu se résume à une simple description de l'état de santé du patient (ne reposant sur aucune investigation clinique et technique) ou qui a été dressé plusieurs mois après une consultation n'a pas de force probante (cf. arrêts du TAF B-558/2015 du 10 octobre 2017 consid. 5.4.1). c) En l’espèce, la recourante fait valoir que les certificats médicaux produits par ses soins démontrent bien qu’en raison de ses problèmes de santé, il ne pouvait être exigé d’elle de conserver son emploi, qui n’était plus convenable. Dans la mesure où l’assurée a justifié la résiliation de son contrat de travail en faisant valoir des motifs de santé et en produisant plusieurs certificats médicaux, il convient de les examiner afin de déterminer si l’on pouvait raisonnablement exiger qu’elle conservât son emploi. c/aa) Le certificat du 2 août 2019 établi par le médecin traitant de la recourante, le Dr S.________, mentionne que l’assurée a décrit des problèmes de santé survenus en raison de son activité professionnelle auprès de son employeur, soit des cervicalgies présentes déjà en 2015, que l’assurée ne peut plus rester à son poste de travail si les mesures d’ergothérapie sont inefficaces et qu’elle est à même d’exercer sa profession actuelle. Force est de constater que ce rapport est assez vague et succinct : il n’indique pas en quoi la continuation des rapports de travail auprès de l’employeur de l’assurée à l’époque aurait constitué un danger pour sa santé au point que les rapports de travail doivent être résiliés. Il en va de même du rapport du 20 juin 2019 du même médecin, qui indique seulement qu’il serait judicieux, pour des raisons de santé, que la recourante puisse changer de travail. Certes, le rapport du Dr S.________ du 15 novembre 2019 indique que l’assurée ne pouvait plus exercer son activité professionnelle auprès d’Y.________ Assurance de protection juridique SA : il relate les symptômes de l’assurée, à savoir des cervico-brachialgies, et mentionne que l’assurée a parlé de stress et de surcharge de travail, mais il n’explique pas en quoi la continuation des rapports de travail aurait représenté un risque pour la santé de l’assurée. De plus, il est postérieur à la décision du 6 novembre 2019 et a été établi bien après la survenance des incapacités de travail, alors qu’à cette époque-là, le Dr S.________ était moins catégorique dans son appréciation, puisqu’il jugeait seulement qu’il serait judicieux, pour des raisons médicales, que l’assurée puisse changer d’emploi (certificat du 20 juin 2019). c/bb ) Reste à examiner les autres certificats produits par la recourante. En ce qui concerne l’attestation établie le 20 novembre 2019 par R.________, ergothérapeute, il y a lieu de constater que celui-ci a relevé que l’assurée avait une bonne hygiène de vie et que l’adaptation de son mobilier n’avait que peu d’influence sur ses douleurs, que la pression psychosociale et le stress sur son lieu de travail semblaient avoir une grande importance sur sa symptomatologie, laquelle paraissait pouvoir être résolue uniquement par un changement d’environnement de travail. En outre, il ressort du rapport de la Dre L.________ du 27 novembre 2019, médecin praticien qui pratique l’acupuncture, que l’assurée l’a consultée les 12 et 19 mars 2019 ainsi que le 2 avril 2019 pour des cervicalgies intenses, des tensions musculaires notables des trapèzes avec raideur cervicale associée et des céphalées, dont la cause était des tensions musculaires d’origine mécanique, avec problème postural (longues heures à l’ordinateur), et nerveuses dans un contexte de tensions et de surcharge professionnelle décrites par la patiente. La Dre L.________ concluait que l’assurée semblait pouvoir travailler dans son domaine d’avocat, mais à la condition de trouver un poste moins générateur de stress. Force est de constater que les deux rapports précités consistent uniquement en une description très succincte de l’état de santé de l’assurée sans faire apparaître qu’il repose sur une investigation clinique et technique ; de plus, les praticiens se contentent de répondre de manière très brève aux différentes questions contenues dans les formulaires sans apporter d’éléments permettant d’étayer leurs affirmations. Par ailleurs, les rapports de l’ergothérapeute, qui n’est pas médecin, et de la Dre L.________ sont largement postérieurs aux empêchements constatés en mars et avril 2019. Il apparaît ainsi aux yeux de la Cour que ces différents praticiens tendent avant tout à préconiser ou suggérer, de manière prudente, un changement de poste de travail. c/cc) Au final, ce n’est que dans les rapports du Dr S.________ du 15 novembre 2019 et de la Dre L.________ du 27 novembre 2019 que ceux-ci sont plus catégoriques quant à la nécessité d’un changement de poste de travail. Indépendamment de la date à laquelle lesdits certificats ont été établis, ces rapports sont très laconiques et insuffisamment motivés pour conclure que la continuation des rapports de travail était de nature à mettre en péril la santé de l’assurée et surtout que la résiliation du contrat constituerait la seule mesure possible afin de la protéger. Toujours indépendamment de la date à laquelle lesdits certificats ont été établis, ces derniers ne remplissent pas non plus les exigences jurisprudentielles rappelées au considérant 5b ci-dessus (cf. ATF 124 V 234 consid. 4b/bb; arrêts du TF 8C_513/2018 du 7 novembre 2018 consid. 2.2, 8C_107/2018 du 7 août 2018 consid. 5, 8C_66/2017 du 9 juin 2017 consid. 4.3). A cela s’ajoute le fait que la recourante se contente d’affirmer que le stress et la pression constante ont provoqué les cervico-brachialgies qu’elle présentait, alors qu’aucun médecin consulté ne l’atteste ni ne fait explicitement un tel lien. Ils se limitent à cet égard à mentionner le contexte générateur de stress selon les déclarations de l’assurée. Au vu ce qui précède, les différents certificats remis par l’assurée s’avèrent lacunaires et ne remplissent pas les exigences jurisprudentielles pour leur reconnaître une valeur probante. Il y a donc lieu de considérer que la recourante a abandonné un emploi convenable sans s’assurer d’en avoir trouvé un autre, ce qui est constitutif d’une faute. La suspension du droit à l’indemnité journalière est par conséquent justifiée sur le principe. Reste à examiner la quotité de la sanction.</w:t>
      </w:r>
    </w:p>
    <w:p>
      <w:r>
        <w:rPr>
          <w:b/>
        </w:rPr>
        <w:t>E. 6</w:t>
      </w:r>
    </w:p>
    <w:p>
      <w:r>
        <w:t>a) En vertu de l’art. 30 al. 3 LACI, la durée de la suspension est proportionnelle à la gravité de la faute et ne peut excéder soixante jours. L'autorité dispose à cet égard d'un large pouvoir d'appréciation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En tant qu’autorité de surveillance, le Secrétariat d’Etat à l’économie (SECO) a adopté, en qualité d’autorité de surveillance, un barème (indicatif) à l’intention des organes d’exécution (Bulletin LACI IC, D75). Selon ce barème, il y a faute grave lorsqu’un assuré résilie son contrat de travail sans s’être assuré d’un nouvel emploi (Bulletin LACI IC, D75 1.D).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Pour la détermination de la faute individuelle et de la quotité de la suspension dans le domaine de la faute grave il faut partir, selon le tribunal fédéral, du milieu de la fourchette de trente-et-un à soixante jours (art. 45, al. 3, let. c OACI), soit quarante-cinq jours, et tenir compte des facteurs aggravants, atténuants et du principe de proportionnalité (ATF 123 V 153). Ce principe doit également s’appliquer en cas de faute légère et moyenne (art. 45, al. 3, let, a et b OACI [Bulletin LACI IC D77]). b) En l’espèce, la Caisse et l’intimée ont, à raison, retenu une faute grave de la recourante qu’elles ont sanctionnée d’une suspension dans le droit à l’indemnité journalière de trente-et-un jours indemnisables, soit le minimum fixé tant par la loi que par le barème du SECO. Dès lors, la quotité de la suspension ne prête pas le flanc à la critique. Le fait que la recourante ait repris son activité de greffière vacataire en août 2019 ne saurait constituer un élément à prendre en considération dans l’appréciation de la quotité de la sanction.</w:t>
      </w:r>
    </w:p>
    <w:p>
      <w:r>
        <w:rPr>
          <w:b/>
        </w:rPr>
        <w:t>E. 7</w:t>
      </w:r>
    </w:p>
    <w:p>
      <w:r>
        <w:t>a) En conclusion, le recours doit être rejeté et la décision sur opposition du 20 mars 2020 de la Caisse cantonale de chômage, Division juridique, est confirmée. On ajoutera que l’audition des témoins et de la recourante ne sont pas de nature à remettre en cause les conclusions de la Cour. On peut donc écarter ces mesures d’instruction complémentaire par appréciation anticipée des preuves (cf. à ce sujet : ATF 124 V 90 consid. 4b et 122 V 157 consid. 1d). b ) Les recours pendants devant le tribunal de première instance à l’entrée en vigueur de la modification du 21 juin 2019 de la LPGA restent régis par l’ancien droit (art 83 LPGA [nouvelle teneur selon le ch. I de la LF du 21 juin 2019, en vigueur depuis le 1 er janv. 2021 (RO 2020 5137; FF 2018 1597 ). Cela étant, il n’y a pas lieu de percevoir de frais judiciaires, la procédure étant gratuite (art. 61 let. a aLPGA). c) La recourante, qui n’obtient pas gain de cause et qui au demeurant a agi sans l’assistance d’un mandataire professionnel, n’a pas droit à des dépens (art. 61 let. g LPGA). Par ces motifs, la juge unique prononce : I. Le recours est rejeté. II. La décision sur opposition rendue le 20 mars 2020 par la Caisse cantonale de chômage, Division juridique, est confirmée. III. Il n’est pas perçu de frais judiciaires ni alloué de dépens. La juge unique :               La greffière : Du L'arrêt qui précède est notifié, par l'envoi de photocopies, à : ‑ K.________, à Lausanne,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