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200/19 - 43/2020 vom 13. März 2020</w:t>
      </w:r>
    </w:p>
    <w:p>
      <w:r>
        <w:t>VD Tribunal cantonal, 2020-03-13, FR</w:t>
      </w:r>
    </w:p>
    <w:p>
      <w:r>
        <w:rPr>
          <w:b/>
        </w:rPr>
        <w:t xml:space="preserve">Quelle: </w:t>
      </w:r>
      <w:r>
        <w:t>https://mcp.opencaselaw.ch/entscheid/vd_findinfo_ACH_200_19_-_43_2020</w:t>
      </w:r>
    </w:p>
    <w:p>
      <w:r>
        <w:t>FR: VD_FINDINFO ACH 200/19 - 43/2020 du 13 mars 2020</w:t>
      </w:r>
    </w:p>
    <w:p>
      <w:r>
        <w:t>IT: VD_FINDINFO ACH 200/19 - 43/2020 del 13 marzo 2020</w:t>
      </w:r>
    </w:p>
    <w:p>
      <w:pPr>
        <w:pStyle w:val="Heading2"/>
      </w:pPr>
      <w:r>
        <w:t>Regeste</w:t>
      </w:r>
    </w:p>
    <w:p>
      <w:r>
        <w:t>INDEMNITÉ DE CHÔMAGE, PÉREMPTION, DEMANDE DE PRESTATION D'ASSURANCE, CRÉANCE DANS LA FAILLITE | 51 LACI, 52 al. 1 LACI, 53 LACI, 77 al. 1 let. a OACI</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w:t>
      </w:r>
    </w:p>
    <w:p>
      <w:r>
        <w:rPr>
          <w:b/>
        </w:rPr>
        <w:t>E. 3</w:t>
      </w:r>
    </w:p>
    <w:p>
      <w:r>
        <w:t>a) Selon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LACI, l'indemnité couvre les créances de salaire portant sur les quatre derniers mois au plus d'un même rapport de travail, jusqu'à concurrence, pour chaque mois, du montant maximal visé à l'art. 3, al. 2. Les allocations dues aux travailleurs font partie intégrante du salaire (al. 1). 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 (al. 1 bis ). En principe l'indemnité en cas d'insolvabilité ne couvre que des créances de salaire qui portent sur un travail réellement fourni (ATF 132 V 82 consid. 3.1 et 125 V 492 consid. 3b ; Boris Rubin, Commentaire de la loi sur l’assurance-chômage, Genève/Zurich/Bâle 2014, n.</w:t>
      </w:r>
    </w:p>
    <w:p>
      <w:r>
        <w:rPr>
          <w:b/>
        </w:rPr>
        <w:t>E. 7</w:t>
      </w:r>
    </w:p>
    <w:p>
      <w:r>
        <w:t>ad art. 52 p. 429) et non pas des prétentions en raison d'un congédiement du travailleur par l’employeur, laissant subsister un droit au salaire ou à une indemnité (ATF 121 V 377 ; 114 V 56 consid. 4 ; 111 V 269 consid. 1b et 110 V 30). b) D’après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Selon la jurisprudence et la doctrine rendues en application de l’art. 53 LACI, la date de la publication de l’ouverture de la faillite est déterminante, et non celle de l’ouverture de la faillite (ATF 114 V 354; TF [Tribunal fédéral] 8C_541/2009 du 19 novembre 2009 consid. 5). Le délai de 60 jours prévu par l’art. 53 al. 1 LACI commence à courir le lendemain de la date de publication dans la Feuille officielle suisse du commerce (Rubin, op. cit., n. 9 ad art. 53 p. 434). En vertu de l’art. 77 al. 1 OACI, l'assuré qui prétend à une indemnité pour insolvabilité doit remettre à la caisse compétente la formule de demande dûment remplie (let. a), son certificat d'assurance de l'AVS/AI (let. b), son permis d'établissement ou de séjour ou une attestation de domicile de la commune ou, lorsqu'il est étranger, son autorisation (let. c), et tout autre document que la caisse lui réclame pour pouvoir établir son droit (let. d). Selon l’art. 77 al. 2 OACI, au besoin, la caisse impartit à l'assuré un délai raisonnable pour lui permettre de compléter les documents et le rend attentif aux conséquences d'une négligence de sa part. c) Le délai d’exercice du droit est en corrélation étroite avec chaque motif d’insolvabilité de l’employeur susceptible d’ouvrir un droit à l’indemnité. Une prétention périmée à une indemnité en cas d’insolvabilité ne renaît pas lors de la survenance d’un nouveau cas d’insolvabilité de l’employeur (ATF 126 V 139 consid. 3d p. 141 ; 123 V 106 ; TFA C 273/04 du 13 juillet 2005 consid. 3.2). Par exemple, les créances de salaire antérieures au dépôt d’une réquisition de saisie ne peuvent plus faire l’objet de la prétention éventuelle née ensuite de l’ouverture de la faillite. De même, si une faillite est prononcée après homologation d’un sursis concordataire, un droit à l’indemnité non utilisé au moment de cette homologation, ou qui n’a pas été exercée en temps utile, ne reprend pas naissance à l’occasion de la faillite (Rubin, op. cit., n. 3 ad art. 53 p. 433). Le délai de l’art. 53 al. 3 LACI est un délai de fond (de droit matériel), de nature péremptoire (ATF 123 V 106 consid. 2a ; TFA [Tribunal fédéral des assurances] C 118/00 du 26 septembre 2000 ; Rubin, op. cit., n. 12 ad art. 53 p. 435), toutefois sujet à restitution lorsque l’assuré a été empêché sans sa faute d’agir à temps (ATF 131 V 454 consid. 3.1 et les références citées ; cf. art. 41 LPGA). 4. En l’espèce, la faillite de Z.________ a été prononcée avec effet au 21 novembre 2017. Le délai pour effectuer l’avance de frais était échu le 2 février 2018 et la faillite, suspendue faute d’actif, a été clôturée le 13 février 2018 et publiée dans la FOSC le 20 février 2018. Le délai de l’art. 53 al. 1 LACI a commencé à courir le lendemain et a ainsi expiré le 61 ème jour du délai. Dès lors, la demande d’indemnité présentée par le recourant le 18 juillet 2019 était manifestement tardive de sorte que son droit à la prestation sollicitée était périmé, étant précisé que l’intéressé n’a pas fait valoir de motif de restitution du délai. Contrairement à ce qu’allègue le recourant, la saisie à l'encontre de J.________ pour un montant de 26'848 fr. 15 avec délivrance d'un acte de défaut de biens ne permet pas d'ouvrir un nouveau droit à une indemnité en cas d'insolvabilité. Il importe dès lors peu que le recourant ait présenté sa demande d’indemnisation dans le délai de 60 jours dès l’exécution de la saisie de J.________. En effet, la créance de salaire invoquée dans le cadre de la réquisition de saisie ne peut se rapporter qu’à une période antérieure à l’ouverture de la faillite de Z.________, si bien qu’elle ne peut faire l’objet d’une prétention éventuelle née ensuite de la réquisition de saisie auprès du titulaire de la raison individuelle. En d’autres termes, le recourant ne saurait se prévaloir d’un droit à l’indemnité à l’occasion de la saisie, faute d’avoir utilisé ce droit au moment de la faillite ou de l’avoir exercé en temps utile. On rappellera qu'il suffit, selon l'art. 74 OACI, de rendre la créance de salaire plausible pour obtenir le versement de l'indemnité. En cas de doute, il appartenait au recourant de se renseigner sur les démarches à entreprendre du point de vue de l’assurance-chômage suite à la faillite de Z.________. 5. a) En définitive, le recours, mal fondé, doit être rejeté, ce qui entraîne la confirmation de la décision sur opposition litigieuse. b) Il n’y a pas lieu de percevoir de frais judiciaires, la procédure étant gratuite (art. 61 let. a LPGA), ni d’allouer de dépens, dès lors que le recourant n’obtient pas gain de cause (art. 61 let. g LPGA). c) Le recourant a été mis au bénéfice de l’assistance judiciaire et a obtenu, à ce titre, la commission d’un avocat d’office en la personne de Me Raphaël Hämmerli. Conformément à l'art. 2 al. 1 RAJ (règlement cantonal du 7 décembre 2010 sur l’assistance judiciaire en matière civile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En l’espèce, Me Hämmerli a produit sa liste des opérations le 4 mars 2020, comprenant</w:t>
      </w:r>
    </w:p>
    <w:p>
      <w:r>
        <w:rPr>
          <w:b/>
        </w:rPr>
        <w:t>E. 8</w:t>
      </w:r>
    </w:p>
    <w:p>
      <w:r>
        <w:t>heures et 30 minutes de travail effectuées au tarif horaire de 180 fr. pour un avocat. A la lecture du détail des opérations, on constate que la durée prévue pour certaines d’entre elles est inhabituellement élevée et ne se justifie pas par la difficulté de la cause, en particulier pour ce qui est de l’analyse du dossier, des recherches juridiques et la rédaction du recours (4 heures et 48 minutes), dès lors que Me Hämmerli représentait déjà l’assuré dans le cadre de la procédure administrative. En outre, la durée pour trois correspondances au W.________ aboutissant à l’obtention d’une attestation RI (revenu d’insertion) ne peut sans autre être retenue. Il en va de même des opérations concernant le recourant (téléphone au client, préparation de l’entretien avec le client, entretien avec le client, correspondance explicative au client). Les opérations doivent au final être réduites à 6 heures pour le travail effectué. S’agissant des débours, il convient d’appliquer le forfait de 5 % du défraiement hors taxe (art. 3 bis al. 1 RAJ). L’indemnité du conseil d’office sera ainsi fixée à 1’221 fr. 30, soit 1’080 fr. d’honoraires d’avocat (6 heures x 180 fr.), 54 fr. de débours (5 %) et 87 fr. 30 de TVA.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Par ces motifs, la juge unique prononce : I. Le recours est rejeté. II. La décision sur opposition rendue le 15 novembre 2019 par la Caisse cantonale de chômage, Division juridique, est confirmée. III. Il n’est pas perçu de frais judiciaires ni alloué de dépens. IV. L’indemnité d’office de Me Raphaël Hämmerli est arrêtée à 1'221 fr. 30 (mille deux cent vingt-et-un francs et trente centimes), débours et TVA compris. V. Le bénéficiaire de l’assistance judiciaire est, dans la mesure de l’art. 123 CPC, applicable par renvoi de l’art. 18 al. 5 LPA-VD, tenu au remboursement de l’indemnité du conseil d’office mise à la charge de l’Etat. La juge unique :               La greffière : Du L'arrêt qui précède est notifié à : ‑ Me Raphaël Hämmerli, avocat à Yverdon-les-Bains (pour le recourant),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