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104/25 - 156/2025 vom 30. September 2025</w:t>
      </w:r>
    </w:p>
    <w:p>
      <w:r>
        <w:t>VD Tribunal cantonal, 2025-09-30, FR</w:t>
      </w:r>
    </w:p>
    <w:p>
      <w:r>
        <w:rPr>
          <w:b/>
        </w:rPr>
        <w:t xml:space="preserve">Quelle: </w:t>
      </w:r>
      <w:r>
        <w:t>https://mcp.opencaselaw.ch/entscheid/vd_findinfo_ACH_104_25_-_156_2025___________</w:t>
      </w:r>
    </w:p>
    <w:p>
      <w:r>
        <w:t>FR: VD_FINDINFO ACH 104/25 - 156/2025 du 30 septembre 2025</w:t>
      </w:r>
    </w:p>
    <w:p>
      <w:r>
        <w:t>IT: VD_FINDINFO ACH 104/25 - 156/2025 del 30 settembre 2025</w:t>
      </w:r>
    </w:p>
    <w:p>
      <w:pPr>
        <w:pStyle w:val="Heading2"/>
      </w:pPr>
      <w:r>
        <w:t>Regeste</w:t>
      </w:r>
    </w:p>
    <w:p>
      <w:r>
        <w:t>REFUS D'UN TRAVAIL CONVENABLE, FAUTE GRAVE, REJET DE LA DEMANDE, SUSPENSION DU DROIT À L'INDEMNITÉ | 17 al. 1 LACI, 17 al. 3 LACI, 30 al. 1 let. d LACI, 45 al. 3 OACI, 45 al. 4 let. b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présent litige porte sur le point de savoir si l’intimée était fondée à prononcer une suspension du droit à l’indemnité de chômage du recourant pour une durée de trente-et-un jours, pour refus d’emploi convenable.</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 Boris Rubin , Assurance-chômage Manuel à l’usage des praticiens, Genève/Zurich 2025, p. 145). b)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8C_756/2020 du 3 août 2021 consid. 3.1 et les références).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8C_38/2011 du 14 décembre 2011 et les références citées). Le refus d’un emploi ne présuppose pas un refus explicite d’accepter l’emploi. Plus le nombre d’activités entrant en considération est restreint, plus l’assuré doit manifester une attitude franchement positive à l’endroit du poste à repourvoir ( Boris Rubin , Commentaire de la loi sur l’assurance-chômage, Genève/Zurich/Bâle 2014, n. 66 ad art. 30 LACI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w:t>
      </w:r>
    </w:p>
    <w:p>
      <w:r>
        <w:rPr>
          <w:b/>
        </w:rPr>
        <w:t>E. 4</w:t>
      </w:r>
    </w:p>
    <w:p>
      <w:r>
        <w:t>En l’occurrence, il est constant que le recourant a postulé le 10 janvier 2025, par le biais de l’ORP, auprès de la société Z.________ SA, qui recherchait un logisticien à 100 % et pour une durée indéterminée. A sa décharge, le recourant fait valoir principalement que c’est l’employeur qui a interrompu leur échange, et que demander une précision salariale ne peut être assimilé à un refus d’emploi. A cet égard au contraire, il convient de retenir que la société Z.________ SA était bien intéressée par la candidature du recourant, puisqu’elle a indiqué conserver son curriculum vitae. L’employeur a précisé « comprendre » qu’au vu de l’expérience et de la diversité des missions que le recourant avait effectuées en plus de la logistique dans ses précédents emplois, le salaire pour le poste mis au concours ne lui convienne pas. Or si le recourant avait réagi au courriel de l’employeur du 28 janvier 2025 et indiqué qu’il était prêt à se satisfaire du salaire proposé, respectivement fait part de sa disponibilité pour une journée d’essai, l’employeur aurait poursuivi l’échange. Il en découle que c’est la passivité du recourant à la suite du courriel du 28 janvier 2025 de l’employeur potentiel qui a contribué de manière décisive à l’échec de l’engagement, étant constant que l’obligation de diminuer le dommage incombant aux assurés faisant appel à l’assurance-chômage inclut de mettre en œuvre ce qui peut raisonnablement l’être pour retrouver un emploi (cf. consid. 3b supra). Le recourant ne soutient pas pour le surplus que l’emploi en question n’aurait pas été convenable, respectivement que le salaire proposé lui aurait procuré une rémunération inférieure à celle prévue à l’art. 16 al. 2 let. i LACI, étant souligné au demeurant qu’un salaire inférieur à la limite posée par l’art. 16 al. 2 let. i LACI ne permettait pas encore au recourant de refuser l’emploi en cause, dans la mesure où il aurait alors pu prétendre à des indemnités compensatoires dans le contexte d’un gain intermédiaire. Finalement, en renonçant à contacter l’employeur à la suite de son courriel du 28 janvier 2025, dans la perspective a minima de participer à une journée d’essai, et ce quand bien même l’employeur potentiel relevait son expérience et le fait qu’il entendait conserver son dossier, l’assuré a pris le risque de faire échouer la perspective de conclure un contrat de travail en adoptant une attitude inappropriée constitutive d’un refus d’un emploi convenable (cf. dans ce sens Boris Rubin , Assurance-chômage Manuel à l’usage des praticiens, Genève/Zurich 2025, p. 166 et les références). En outre, contrairement à ce qu’en dit le recourant, il sied de préciser que la suspension infligée n’est pas liée à l’absence de détermination de sa part dans le délai imparti par l’intimée dans sa lettre du 13 février 2025. Compte tenu de ce qui précède, le recourant a, par sa passivité, laissé échapper une possibilité concrète de retrouver un emploi convenable. C’est donc à juste titre que l’intimée a confirmé la suspension du droit à l’indemnité de chômage prononcée par le Pôle suspension du droit pour refus d’emploi convenable. La suspension étant légitime dans son principe, il reste à en examiner la quotité.</w:t>
      </w:r>
    </w:p>
    <w:p>
      <w:r>
        <w:rPr>
          <w:b/>
        </w:rPr>
        <w:t>E. 4.1</w:t>
      </w:r>
    </w:p>
    <w:p>
      <w:r>
        <w:t>; 130 V 125 consid. 3.5). Si des circonstances particulières le justifient, il est donc possible, exceptionnellement, de fixer un nombre de jours de suspension inférieur à 31 jours (TF 8C_225/2023 du 6 mars 2024 consid. 3.2). En revanche, n’en constituent pas de faibles chances d’obtenir le poste assigné, le fait que l’inscription au chômage soit récente, l’imprécision de la description du poste assigné, ou encore le fait que l’assuré ait tardé à présenter ses services ( Rubin , Commentaire de la loi sur l’assurance-chômage, Genève/Zurich/Bâle 2014, n. 117 ad art. 30 LACI et les références citées). b) En l’espèce, l’intimée a considéré que le comportement du recourant devait être qualifié de faute grave, conformément à ce que prévoit l’art. 45 al. 4 let. b OACI en cas de refus d’un emploi réputé convenable sans motif valable. Elle a retenu une sanction de trente-et-un jours de suspension, conforme à la quotité minimale prévue par l’art. 45 al. 3 let. c OACI en cas de faute grave et correspondant à la quotité minimale prévue par le barème du SECO (cf. Directive LACI IC, D79 2.B) en cas d’un premier refus d’un emploi convenable à durée indéterminée assigné à l’assuré ou qu’il a trouvé lui-même. Pour le surplus, les griefs – mal fondés – précédemment examinés (cf. consid. 4 supra) ne sont pas de nature à atténuer le degré de la faute. Il en va ainsi notamment de l’argument principal de l’assuré tendant à faire admettre que l’employeur a interrompu leur échange, admettant le salaire pour le poste mis au concours ne lui convienne pas au vu de son parcours professionnel, alors qu’on était en droit d’attendre de l’intéressé qu’il manifeste immédiatement son intérêt pour le poste convoité, quitte à attendre la journée d’essai ou une future entrevue pour discuter des modalités de son engagement (salaire, etc.). Le recourant avait ainsi l’obligation de donner suite au courriel de l’employeur du 28 janvier 2025, afin de respecter son devoir de mettre un terme au chômage dans les plus brefs délais et partant, réduire le dommage causé à cette assurance sociale. Etant donné que le recourant n’apporte aucune circonstance particulière, tant subjective qu’objective, qui permettrait de qualifier sa faute de moyenne ou légère, il n’y a aucun motif susceptible de fonder une sanction inférieure au minimum de trente-et-un jours prévu pour une faute grave.</w:t>
      </w:r>
    </w:p>
    <w:p>
      <w:r>
        <w:rPr>
          <w:b/>
        </w:rPr>
        <w:t>E. 5</w:t>
      </w:r>
    </w:p>
    <w:p>
      <w:r>
        <w:t>a) En vertu de l’art. 30 al. 3 LACI, la durée de la suspension est proportionnelle à la gravité de la faute et ne peut excéder, par motif de suspension, soixante jours. Elle est d’un à quinze jours en cas de faute légère, de seize à trente jours en cas de faute de gravité moyenne et de trente-et-un à soixante jours en cas de faute grave (art. 45 al. 3 let. a à c OACI). Aux termes de l’art. 45 al. 4 OACI, il y a faute grave lorsque, sans motif valable, l’assuré abandonne un emploi réputé convenable sans être assuré d’obtenir un nouvel emploi (let. a) ou qu’il refuse un emploi réputé convenable (let. b). En tant qu’autorité de surveillance, le Secrétariat d’Etat à l’économie (SECO) a adopté un barème (indicatif) à l’intention des organes d’exécution qui prévoit, en cas de refus d’un emploi convenable ou d’un emploi en gain intermédiaire à durée indéterminée assigné à l’assuré ou qu’il a trouvé lui-même, une suspension de trente-et-un jours lors du premier manquement (cf. Directive LACI IC, D79 2.B).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141 V 365 consid.</w:t>
      </w:r>
    </w:p>
    <w:p>
      <w:r>
        <w:rPr>
          <w:b/>
        </w:rPr>
        <w:t>E. 6</w:t>
      </w:r>
    </w:p>
    <w:p>
      <w:r>
        <w:t>a) En définitive, le recours, mal fondé, doit être rejeté et la décision sur opposition attaquée confirmée. b)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II. La décision sur opposition rendue le 5 mai 2025 par la Direction générale de l’emploi et du marché du travail est confirmée. III. Il n’est pas perçu de frais judiciaires, ni alloué de dépens. La juge unique :               Le greffier : Du L'arrêt qui précède est notifié à : ‑ V.________,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