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93/19 - 47/2020 vom 27. April 2020</w:t>
      </w:r>
    </w:p>
    <w:p>
      <w:r>
        <w:t>VD Tribunal cantonal, 2020-04-27, FR</w:t>
      </w:r>
    </w:p>
    <w:p>
      <w:r>
        <w:rPr>
          <w:b/>
        </w:rPr>
        <w:t xml:space="preserve">Quelle: </w:t>
      </w:r>
      <w:r>
        <w:t>https://mcp.opencaselaw.ch/entscheid/vd_findinfo_AA_93_19_-_47_2020</w:t>
      </w:r>
    </w:p>
    <w:p>
      <w:r>
        <w:t>FR: VD_FINDINFO AA 93/19 - 47/2020 du 27 avril 2020</w:t>
      </w:r>
    </w:p>
    <w:p>
      <w:r>
        <w:t>IT: VD_FINDINFO AA 93/19 - 47/2020 del 27 aprile 2020</w:t>
      </w:r>
    </w:p>
    <w:p>
      <w:pPr>
        <w:pStyle w:val="Heading2"/>
      </w:pPr>
      <w:r>
        <w:t>Regeste</w:t>
      </w:r>
    </w:p>
    <w:p>
      <w:r>
        <w:t>RÉVISION{DÉCISION}, PRESTATION D'ASSURANCE INDUE | 46 LAA, 25 al. 1 LPGA, 53 al. 1 LPGA</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8C_784/2013 du 7 octobre 2014 consid. 4.2 ; TFA U 259/04 du 23 novembre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il convient de déterminer si l’assuré a été victime d’un accident en date du 13 août 2018. A titre liminaire, il est relevé que, par communication du 3 septembre 2018, l’intimée a octroyé à l’intéressé des prestations pour les suites de l’événement du 13 août 2018. Cette communication ne peut être qualifiée que de simple lettre d’information, de sorte qu’elle ne saurait avoir les effets d’une décision formelle entrée en force (TF 8C_531/2012 du 4 juin 2013 consid. 4.2). En revanche, il demeure que des indemnités journalières et des frais de traitement ont été payés par l’intimée, avant d’être réclamés par décision du 13 mai 2019. Ainsi, la restitution des prestations indûment touchée fondée sur l’art. 25 al. 1 LPGA ne pouvait être opérée qu’aux conditions d’une reconsidération ou d’une révision procédurale (cf. consid. 3c supra ). a) Au moment de prendre cette décision, l’intimée n’avait au dossier que de la déclaration de sinistre du 29 août 2018, ainsi que des certificats attestant une incapacité de travail totale. Il n’existait ainsi aucun indice que l’assuré n’aurait pas été victime d’un accident à la date invoquée. b) Ce n’est que dans un second temps, avec le courrier électronique transmis par l’employeur le 22 octobre 2018, que la CNA a eu connaissance d’éléments susceptibles de remettre en cause la survenance d’un événement accidentel le 13 août 2018. En particulier, la Caisse s’est alors vu transmettre les certificats d’arrêts de travail reformulés en accident par le Dr X.________, le rapport du 9 octobre 2018 du Dr J.________, la carte de pointage de l’assuré, ainsi que le relevé des passages aux différentes portes de l’entreprise le 13 août 2018. Au mois de novembre 2018, il a également reçu le rapport du 8 octobre 2018 du Dr B.________. Par la suite, ayant invité l’intéressé a remplir un formulaire et à se déterminer sur les doutes soulevés quant à la véracité de la survenance de l’événement du 13 août 2018, la CNA a pu mettre en parallèle les réponses fournies dans le cadre du questionnaire du 21 novembre 2018 et lors de l’entretien du 12 mars 2019 avec les déclarations faites antérieurement, ce qui a permis de constater des contradictions. Ces documents constituent donc de nouveaux moyens de preuve obtenus subséquemment par l’intimée (cf. art. 53 al. 1 LPGA). c) Au vu de l’heure d’arrivée du recourant dans les locaux de l’entreprise à</w:t>
      </w:r>
    </w:p>
    <w:p>
      <w:r>
        <w:rPr>
          <w:b/>
        </w:rPr>
        <w:t>E. 8</w:t>
      </w:r>
    </w:p>
    <w:p>
      <w:r>
        <w:t>h 38 et 8 h 47, deux passages ont été enregistrés à la porte « Bureaux Rez Nord Ouest » (8 h 41 ; 8 h 42) et 4 passages ont été enregistrés aux portes « Entrée Principale Ext. Réception » et « Entrée Locataires Int. Nord » (8 h 38 ; 8 h 40 ; 8 h 45 ; 8 h 47). A nouveau, il n’apparaît pas vraisemblable que le recourant ait pu chuter et rester à terre quelques minutes, avant de se relever difficilement, sans être aperçu par autre employé, qui aurait du reste pu lui venir en aide. De plus, il apparaît étonnant qu’aucun collaborateur ne l’ait aperçu, alors qu’il prétend avoir marché « au ralenti » suite à sa chute. Contrairement à ce que semble croire l’intéressé, les incohérences ressortant de ses déclarations successives excèdent largement les quelques imprécisions raisonnablement admissibles de la part d’une personne appelée à revenir a posteriori sur des événements survenus quelques mois plus tôt . C’est par ailleurs à tort que le recourant se prévaut des avis médicaux au dossier. Le Dr M.________ s’est en effet contenté de reprendre les indications du patient relatives au déroulement de l’accident, soit une « chute sur les fesses en descendant de l’escalier », diagnostiquant à cet égard un blocage traumatique. Cependant, selon les indications fournies par le recourant à la Caisse en date du 21 novembre 2018, c’est avec le bas du dos, et non avec les fesses, qu’il aurait tapé contre l’angle de l’escalier ; cette affirmation a encore été confirmée lors de l’entretien du 12 mars  2019. Par ailleurs, le Dr M.________ comme le Dr  J.________ n’ont fait état d’aucun hématome ou autre dermabrasion, ce qui cadre mal avec la chute telle que décrite par le recourant. Dans le même sens, on relèvera que le bilan radiologique du 8 octobre 2018 n’a pas mis en évidence de lésion post-traumatique. Partant, force est d’admettre que les avis médicaux au dossier ne sont d’aucun secours au recourant. En ce qui concerne les certificats d’incapacité de travail corrigés par le Dr Carlantonio, celui-ci a indiqué les avoir rectifié ensuite d’une erreur de sa part. On voit toutefois mal que le praticien ait pu se méprendre sur l’origine maladive ou accidentelle de l’incapacité de travail attestée. A cet égard, les indications du recourant selon lesquelles il n’aurait, dans un premier temps, pas rapporté la survenance d’une chute sont peu convaincantes. Dès lors, les corrections apportées a posteriori par le Dr X.________ apparaissent sujettes à caution. En outre, le rapport établi le 20 mai 2019 par L.________ ne permet pas de rendre vraisemblable l’existence d’une chute, dès lors qu’elle ne prouve uniquement que le recourant a effectué neuf séances de physiothérapie entre le 12 septembre et le 24 octobre 2018, soit plus d’un mois après la chute. A cela s’ajoute que la chronologie des faits interpelle. En effet, selon les déclarations de son employeur, le recourant aurait affirmé, dans le cadre d’une discussion animée en présence de N.________ et de D.________, qu’il allait de ce pas se rendre chez le médecin pour démontrer l’inadéquation de son poste de travail, respectivement les maux de dos engendrés par celui-ci. Or, ce n’est qu’après cet entretien avec ses supérieurs qu’il aurait chuté sur le dos. Au surplus, on observera que la CNA s’est essentiellement fondée sur les déclarations contradictoires du recourant et sur le relevé des passages aux différentes portes de l’entreprise, situés aux abords immédiats de l’escalier sur lequel l’assuré aurait chuté. Ainsi, dans la mesure où les déclarations des responsables de [...] n’ont pas joué un rôle déterminant dans la présente affaire, l’argument soulevé par l’assuré, selon lequel l’intimée aurait fondé sa décision sur des témoignages arbitraires, tombe à faux. Enfin, l’erreur de date – relative à la période d’incapacité de travail de l’assuré – contenue dans les écritures de la CNA ne porte pas à conséquence . d) Compte tenu des incohérences qui précèdent et des déclarations contradictoires du recourant, l’intimée était légitimée à rendre la décision litigieuse, réclamant ainsi la restitution des prestations déjà versées à tort à hauteur de 4'735 fr. 35. On soulignera cependant que le recourant ne conteste pas la restitution, que ce soit sur son principe ou dans sa quotité, et que la Cour de céans ne voit aucun motif pertinent incitant à s’écarter de la position de l’intimée sur ce point. 7. 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le juge unique prononce : I. I. Le recours est rejeté. II. La décision sur opposition rendue le 21 juin 2019 par la Caisse nationale suisse d’assurance en cas d’accidents est confirmée. III. Il n’est pas perçu de frais de procédure, ni alloué de dépens. Le juge unique :               La greffière : Du L'arrêt qui précède est notifié à : ‑ Unia Vaud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