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AA 87/20 - 50/2021 vom 7. Mai 2021</w:t>
      </w:r>
    </w:p>
    <w:p>
      <w:r>
        <w:t>VD Tribunal cantonal, 2021-05-07, FR</w:t>
      </w:r>
    </w:p>
    <w:p>
      <w:r>
        <w:rPr>
          <w:b/>
        </w:rPr>
        <w:t xml:space="preserve">Quelle: </w:t>
      </w:r>
      <w:r>
        <w:t>https://mcp.opencaselaw.ch/entscheid/vd_findinfo_AA_87_20_-_50_2021</w:t>
      </w:r>
    </w:p>
    <w:p>
      <w:r>
        <w:t>FR: VD_FINDINFO AA 87/20 - 50/2021 du 7 mai 2021</w:t>
      </w:r>
    </w:p>
    <w:p>
      <w:r>
        <w:t>IT: VD_FINDINFO AA 87/20 - 50/2021 del 7 maggio 2021</w:t>
      </w:r>
    </w:p>
    <w:p>
      <w:pPr>
        <w:pStyle w:val="Heading2"/>
      </w:pPr>
      <w:r>
        <w:t>Regeste</w:t>
      </w:r>
    </w:p>
    <w:p>
      <w:r>
        <w:t>LIEN DE CAUSALITÉ, ATTEINTE DÉGÉNÉRATIVE, ACCIDENT | 16 LAA, 36 al. 1 LAA, 11 OLAA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Vu l’issue de la procédure, la mise en œuvre de l’expertise requise par la recourante n’apparaît pas de nature à apporter un éclairage différent sur les éléments retenus ci-dessus et peut dès lors être écartée par appréciation anticipée des preuves (ATF 144 II 427 consid. 3.1.3 ; 140 I 285 consid. 6.3.1).</w:t>
      </w:r>
    </w:p>
    <w:p>
      <w:r>
        <w:rPr>
          <w:b/>
        </w:rPr>
        <w:t>E. 7</w:t>
      </w:r>
    </w:p>
    <w:p>
      <w:r>
        <w:t>Mal fondé, le recours doit en conséquence être rejeté, ce qui entraîne la confirmation de la décision sur opposition litigieuse. La procédure étant en principe gratuite (art. 61 let. a LPGA), il n’y a pas lieu de percevoir de frais judiciaires, ni d’allouer de dépens au vu de l’issue du litige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