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84/21 - 78/2022 vom 5. Juli 2022</w:t>
      </w:r>
    </w:p>
    <w:p>
      <w:r>
        <w:t>VD Tribunal cantonal, 2022-07-05, FR</w:t>
      </w:r>
    </w:p>
    <w:p>
      <w:r>
        <w:rPr>
          <w:b/>
        </w:rPr>
        <w:t xml:space="preserve">Quelle: </w:t>
      </w:r>
      <w:r>
        <w:t>https://mcp.opencaselaw.ch/entscheid/vd_findinfo_AA_84_21_-_78_2022___________</w:t>
      </w:r>
    </w:p>
    <w:p>
      <w:r>
        <w:t>FR: VD_FINDINFO AA 84/21 - 78/2022 du 5 juillet 2022</w:t>
      </w:r>
    </w:p>
    <w:p>
      <w:r>
        <w:t>IT: VD_FINDINFO AA 84/21 - 78/2022 del 5 luglio 2022</w:t>
      </w:r>
    </w:p>
    <w:p>
      <w:pPr>
        <w:pStyle w:val="Heading2"/>
      </w:pPr>
      <w:r>
        <w:t>Regeste</w:t>
      </w:r>
    </w:p>
    <w:p>
      <w:r>
        <w:t>LIEN DE CAUSALITÉ, RENTE D'INVALIDITÉ, INDEMNITÉ POUR ATTEINTE À L'INTÉGRITÉ | 18 LAA, 6 LAA</w:t>
      </w:r>
    </w:p>
    <w:p>
      <w:pPr>
        <w:pStyle w:val="Heading2"/>
      </w:pPr>
      <w:r>
        <w:t>Erwägungen</w:t>
      </w:r>
    </w:p>
    <w:p>
      <w:r>
        <w:rPr>
          <w:b/>
        </w:rPr>
        <w:t>E. 2</w:t>
      </w:r>
    </w:p>
    <w:p>
      <w:r>
        <w:t>En l’espèce, sont litigieux le droit du recourant à une rente d’invalidité ainsi que la quotité de l’indemnité pour atteinte à l’intégrité à laquelle il peut prétendre.</w:t>
      </w:r>
    </w:p>
    <w:p>
      <w:r>
        <w:rPr>
          <w:b/>
        </w:rPr>
        <w:t>E. 3</w:t>
      </w:r>
    </w:p>
    <w:p>
      <w:r>
        <w:t>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b)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Pour procéder à la comparaison des revenus, il convient de se placer au moment de la naissance du droit éventuel à la rente (ATF 143 V 295 consid. 4.1.3 et les références citées ; TF 9C_254/2010 du 29 octobre 2010 consid. 4.2).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Toutefois, en cas de perte d'emploi pour des motifs étrangers à l'invalidité, le revenu sans invalidité doit en principe être fixé au moyen de données statistiques (TF 8C_581/2020 et 8C_585/2020 du 3 février 2021 consid. 6.1). bb) Le revenu d'invalide doit être évalué avant tout en fonction de la situation professionnelle concrète de l'assuré.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 139 V 592 consid. 2.3 ; TF 9C_790/2020 du 13 octobre 2021 consid. 4.2). Dans ce dernier cas, il y a lieu d'utiliser les données statistiques les plus récentes (ATF 143 V 295 consid. 2.3 et les arrêts cités), en les indexant le cas échéant sur l'évolution des salaires selon l'indice des salaires nominaux jusqu'à la naissance du droit à la rente (ATF 129 V 222 consid. 4.4 ; TF 8C_266/2016 du 15 mars 2017 consid. 5.2.3). Aux fins de déterminer le revenu d'invalide, les salaires fixés sur la base des données statistiques de l'ESS peuvent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 134 V 322 consid. 5.2 ; 126 V 75 consid. 5b/aa-cc).</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Sur le plan médical, le recourant a certes contesté la stabilisation de son état de santé au stade de l’opposition. Il ne soulève cependant plus aucun grief à cet égard dans le cadre de la présente procédure judiciaire. Ce point n’est dès lors plus litigieux. Par surabondance, la Cour relève que le Dr L.________ a confirmé la stabilisation du cas le 13 janvier 2021, nonobstant la nouvelle infiltration évoquée par le Dr P.________ lors de la consultation du 30 décembre 2020 au motif que l’intervention précédente n’avait possiblement pas été effectuée au bon endroit. Rien n’incite à s’écarter de cette appréciation. En particulier, l’éventualité d’une arthrodèse soustalienne était connue du Dr L.________ (cf. rapport d’examen final du 24 juin 2020 p. 3 et 5), qui n’en a pas moins jugé le cas stabilisé. Le seul fait que le Dr P.________, dans ses avis ultérieurs des 8 et 16 février 2021, ait une nouvelle fois évoqué une telle éventualité n’est dès lors pas déterminant, d’autant moins que de l’aveu du Dr P.________ une arthrodèse n’aurait été indiquée qu’en fonction des résultats de la nouvelle infiltration et aurait tout au mieux ouvert à la porte à une « stabilisation dans un état meilleur que l’actuel », bénéfice pour le moins abstrait que l’on ne saurait assimiler à une amélioration sensible de l’état de santé justifiant la poursuite de la prise en charge du traitement médical par l’assureur-accidents (sur le sujet, voir TF 8C_270/2018 du 6 juin 2019 consid. 3). Au demeurant, la reprise d’activité intervenue par la suite, au printemps 2021, plaide également dans le sens d’une stabilisation. Cela étant, l’intimée était donc fondée à considérer l’état de santé de l’assuré comme stabilisé dès le début de l’année 2021 et, corrélativement, à mettre un terme au versement des indemnités journalières et au paiement des soins médicaux au 31 décembre 2020, respectivement à se prononcer sous l’angle du droit à la rente à compter du 1 er janvier 2021 (art. 19 al. 1 LAA). Le recourant ne remet, en outre, pas en question l’entière capacité de travail qui lui est reconnue dans une activité adaptée. Il conteste, en revanche, les limitations fonctionnelles retenues par le Dr L.________, qu’il estime trop restrictives. Se prévalant pour sa part d’un compte-rendu du Dr P.________ du 2 juillet 2019 à l’OAI, il allègue que seule serait exigible une activité en position essentiellement assise telle une activité de bureau (cf. mémoire de recours du 1 er juillet 2021 p. 7 s. et réplique du 18 novembre 2021 p. 2). A la lecture du rapport du Dr P.________ du 2 juillet 2019 (qui n’a pas été porté à la connaissance de la CNA au cours de la procédure administrative), il appert que ce médecin a estimé qu’une activité uniquement en position debout n’était plus envisageable mais que demeuraient exigibles les activités uniquement en position assise ou les activités dans différentes positions pour autant que la station assise soit clairement favorisée (ch. 5 p. 3). D’une part, on ne saurait déduire des propos ainsi formulés par le Dr P.________ que seule une activité essentiellement en position assise – à savoir une activité de bureau – serait désormais adaptée, contrairement à ce que soutient le recourant ; on notera, d’ailleurs, que la reprise d’activité intervenue au printemps 2021, dans le domaine médico-social, ne relève à l’évidence pas d’une activité de bureau. D’autre part, on ne voit pas que l’appréciation de ce dernier médecin serait incompatible avec celle du Dr L.________. En effet, il y a lieu de rappeler que le médecin d’arrondissement de la CNA a retenu des limitations fonctionnelles au niveau des marches prolongées, des marches en terrains irréguliers, de la montée/descente répétée d’escaliers, d’échelles ou d’escabeaux, de la position debout statique prolongée, ainsi que des travaux accroupis ou à genoux (cf. rapport d’examen médical final du 24 juin 2020 p. 4). Force est d’admettre que de telles limitations reviennent, a contrario , à privilégier toute activité exercée uniquement en position assise ou avec alternance de positions pour autant que la station assise l’emporte sur la station debout prolongée, les longues marches ou la position à genoux/accroupie. Dans ces conditions, les griefs du recourant à l’encontre des limitations fonctionnelles retenues par le Dr L.________ ne sont donc pas fondés. b) Sous l’angle économique, le recourant se rallie au revenu de valide de 76'613 fr. 45 retenu par la CNA (cf. mémoire de recours du 1 er juillet 2021 p. 5), montant issu de données statistiques compte tenu de la perte d’emploi intervenue avant la survenance de l’accident. L’intéressé conteste, en revanche, le revenu d’invalide de 73'171 fr. calculé par l’intimée. aa) Tout d’abord, le recourant fait valoir que la CNA s’est fondée à tort sur les données statistiques pour arrêter le montant susdit, sans égard à la reprise d’emploi intervenue au printemps 2021 (cf. mémoire de recours du 1 er juillet 2021 p. 5 s. et réplique du 18 novembre 2021 p. 1). La Cour de céans ne saurait cependant souscrire à ce point de vue. En effet, les circonstances prévalant au moment de la naissance éventuelle du droit à la rente – en l’occurrence, au 1 er janvier 2021 (art. 19 al. 1 LAA) – sont déterminantes pour évaluer le degré d'invalidité et, partant, pour procéder à une comparaison des revenus (ATF 129 V 222 consid. 4.3.1 ; TF 8C_216/2016 du 30 septembre 2016 consid. 5.2). Or force est de constater que le recourant n’avait pas repris d’emploi au 1 er janvier 2021. A cela s’ajoute que l’assuré a été engagé avec effet au 1 er avril 2021 dans le cadre d’une activité exercée sur appel pour la Fondation U.________, avant de décrocher un contrat travail sur appel pour la période du 1 er mai 2021 au 30 avril 2022 au sein de la Fondation C.________ où il a subséquemment obtenu un poste d’animateur à 100 % pour la période du 12 juillet au 31 décembre 2021 avec une prolongation prévue à compter du 1 er janvier 2022 mais à un taux de 80 %. De tels rapports de travail – auprès de deux employeurs distincts, pour des durées initialement déterminées s’agissant de la Fondation C.________ et à des taux d’activité variables, voire sur appel – ne sauraient à l’évidence satisfaire aux conditions posées par la jurisprudence pour la prise en compte du revenu effectif au titre de revenu d’invalide, que ce soit sous l’angle de la stabilité de la relation contractuelle ou sous l’angle de la mise en valeur de l’entière capacité de travail exigible de l’assuré. Dans ces conditions, l’intimée était donc fondée à calculer le revenu d’invalide sur la base des données statistiques sans égard au revenu effectivement réalisé par le recourant depuis le printemps 2021 – revenu qui n’a, du reste, été porté à la connaissance de la CNA qu’au stade de la présente procédure judiciaire. bb) Subsidiairement, le recourant conteste le revenu d’invalide déterminé par la caisse intimée sur la base des données statistiques. aaa) A titre liminaire, il y a lieu de relever que les éléments de calcul retenus par l’OAI – que ce soit sous l’angle du niveau de compétence ou du taux d’abattement (cf. mémoire de recours du 1 er juillet 2021 p. 10 s. et réplique du 18 novembre 2021 p. 2) – ne sont pas déterminants dans le présent contexte. En effet, bien que la notion d'invalidité soit en principe identique en matière d'assurance-invalidité et d'assurance-accidents, il n'en demeure pas moins que l'évaluation de l'invalidité par l'assurance-invalidité n'a pas de force contraignante pour l'assureur-accidents (ATF 131 V 362 consid. 2.3 ; voir également, entre autres, TF 8C_679/2020 du 1 er juillet 2021 consid. 5.1). bbb) L’intéressé reproche tout d’abord à la CNA de s’être fondée sur les données statistiques relatives à un niveau de compétence 2. Il estime, quant à lui, qu’un niveau de compétence 1 aurait dû lui être reconnu dans la mesure où il n’est plus à même d’œuvrer en tant que sommelier ou aide-soignant compte tenu des séquelles de son accident (cf. mémoire de recours du 1 er juillet 2021 p. 8 et réplique du 18 novembre 2021 p. 2). A ce propos, il convient de préciser que 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8C_444/2021 du 29 avril 2022 consid. 4.2.3 et les références citées).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8C_444/2021 loc. cit. et les références citées). Dans le cas particulier, il est constant que le recourant dispose d’un CFC de sommelier et d’une expérience d’environ neuf ans dans le domaine médico-social, respectivement de dix-sept ans dans la gestion d’une société de décoration ayant compté jusqu’à quatre points de vente. Dans cette dernière activité, l’assuré a été appelé à s’occuper de la gestion administrative des magasins, de la gestion de l’ensemble du personnel et de la gestion des achats, en sus d’activités dans les succursales mêmes (cf. rapport d’entretien du 15 novembre 2019 p. 1). Dans ces conditions, force est d’admettre que le recourant dispose manifestement de compétences pouvant être mises en application dans les tâches pratiques propres au niveau de compétence 2. On peut donc considérer avec l’intimée que le type de travail encore à la portée du recourant justifie de se fonder sur le niveau de compétence 2 de l’ESS, et non sur le niveau de compétence 1 ayant trait aux tâches physiques et manuelles simples. Par surabondance et quand bien même ce point n’est pas litigieux, il y a encore lieu de relever que l’intimée a retenu un niveau de compétence 3 pour la détermination du gain de valide au regard de l’expérience acquise dans la gestion d’une société de quatre magasins (cf. feuille de calcul du 16 décembre 2020). La jurisprudence retient, néanmoins, qu’une expérience professionnelle de plusieurs années – sans formation commerciale ni autres qualifications particulières acquises pendant l'exercice de la profession – ne justifie pas à elle seule un classement supérieur au niveau de compétence 2 dès lors que dans la plupart des secteurs professionnels, un diplôme ou du moins des formations et des perfectionnements (formalisés) sont exigés (TF 8C_444/2021 précité consid. 4.2.4 et les références citées). Toutefois, dès lors qu’un niveau de compétence 3 aboutit à un gain de valide plus élevé et s’avère ainsi favorable au recourant dans la comparaison finale des revenus, la Cour de céans renonce en conséquence à développer plus avant cette problématique. ccc) Le recourant fait par ailleurs valoir que l’intimée s’est référée à des données erronées pour l’indexation des salaires. Il soutient plus spécifiquement que, pour les années 2020 et 2021, la CNA s’est fondée sur une évaluation trimestrielle pour arrêter un taux d’indexation de + 1,3 % pour 2020 et de + 1,3 % pour 2021, alors que les données publiées par la suite font état d’un taux d’indexation de + 0,8 % pour 2020 et de + 0,5 % pour 2021 (cf. mémoire de recours du 1 er juillet 2021 p. 9 s.). Les griefs du recourant sont fondés. Lorsque l’intimée a procédé au calcul du préjudice économique, au cours du mois de décembre 2020, seules des statistiques encore provisoires étaient publiées par l’OFS pour l’année 2020, sous forme d’évaluations trimestrielles, et aucune donnée n’était encore connue pour l’année 2021. Or on ne peut ignorer l’actualisation des statistiques de l’OFS jusqu’à la date de la décision sur opposition attaquée, étant souligné que l'utilisation d'un tableau statistique présuppose qu'il a été publié au moment où la décision sur l'opposition a été rendue (ATF 143 V 295 consid. 4.1.2) – date correspondant, en l’occurrence, au 1 er juin 2021. Cela étant, il convient tout d’abord de se référer aux statistiques publiées le 30 avril 2021 par l’OFS, faisant état d’une évolution de + 0,8 % pour l’année 2020 ( tableau T39 « Evolution des salaires nominaux, des prix à la consommation et des salaires réels 1993-2020 »). Concernant l’année 2021, il y a lieu de se fonder sur l’estimation de l’OFS basée sur les données du premier trimestre 2021, soit + 0,5 % (tableau « Estimation trimestrielle de l'évolution des salaires nominaux »), dans la mesure où l’on peut raisonnablement présupposer que ces données étaient disponibles au 1 er juin 2021. Les calculs rectificatifs en découlant restent néanmoins sans impact sur l’issue du litige, ainsi qu’il sera démontré ci-après (cf. consid. 5c infra). ddd) Le recourant conteste encore l’absence d’abattement sur le revenu d’invalide. Il soutient qu’un taux d’abattement de 10 % devrait être appliqué compte tenu de l’ampleur des limitations fonctionnelles, de son âge et de ses dix-sept années de service auprès du même employeur (cf. mémoire de recours du 1 er juillet 2021 p. 10 s.).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8C_732/2019 du 19 octobre 2020 consid. 4.5 ; TF 8C_549/2019 du 26 novembre 2019 consid. 7.7 ; TF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 TF 8C_860/2018 du 6 septembre 2019 consid. 6.3.3). En l'espèce, le médecin d’arrondissement de la CNA a reconnu au recourant des limitations fonctionnelles au niveau des marches prolongées, des marches en terrains irréguliers, de la montée/descente répétée d’escaliers, d’échelle ou d’escabeau, de la position debout statique prolongée, ainsi que des travaux accroupis ou à genoux (cf. rapport d’examen médical final du 24 juin 2020 p. 4 ; cf. consid. 5a supra). Or on ne voit pas en quoi ces limitations seraient vraisemblablement de nature à entraver la capacité de gain du recourant sur un marché du travail équilibré dans le niveau de compétence requis par des tâches pratiques notamment dans la vente, les soins, le traitement des données ou les tâches administratives (niveau de compétence 2). Sous cet angle, un abattement sur le revenu d'invalide n'est dès lors pas justifié. En tant que l’assuré met de surcroît en avant son âge, il convient de souligner que le Tribunal fédéral a jusqu’à ce jour laissé ouverte la question de savoir si, dans le domaine de l'assurance-accidents, le critère de l'âge pouvait justifier un abattement sur les données statistiques (TF 8C_405/2021 du 9 novembre 2021 consid. 6.4.1 et les références citées ; TF 8C_175/2020 du 22 septembre 2020 consid. 3.3). Dans le domaine de l'assurance-invalidité, bien que l'âge soit inclus dans le cercle des critères déductibles depuis la jurisprudence de l'ATF 126 V 75, il ne suffit pas de constater qu'un assuré a dépassé la cinquantaine au moment déterminant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8C_405/2021 précité loc. cit.). Dans le cas particulier, l’assuré était âgé de près de 54 ans au moment de la naissance hypothétique du droit à la rente ; il se trouvait à plus de onze de l’âge légal de la retraite. Il appert en outre qu’avant l’accident, l’assuré avait travaillé auprès de différents employeurs dans le domaine des soins et avait acquis une expérience variée dans le domaine de la vente – non seulement dans le cadre de l’exploitation ordinaire d’un point de vente mais également au niveau de la gestion administrative, de la gestion de personnel et de la gestion d’achats (y compris à l’étranger). On peut ainsi admettre qu'il dispose d'une certaine capacité d'adaptation sur le plan professionnel susceptible, le cas échéant, de compenser les désavantages compétitifs liés à son âge. Sur le vu de ces éléments, l’absence d’abattement à raison de l’âge n’est donc pas critiquable. Pour ce qui est de la prise en compte d'un abattement lié aux années de service, celle-ci ne se justifie en principe pas en cas de choix du niveau de compétence 1 de l’ESS, l'influence de la durée de service sur le salaire étant peu importante dans cette catégorie d'emplois qui ne nécessitent ni formation ni expérience professionnelle spécifique. La question se pose certes différemment à partir du niveau de compétence 2 s'agissant d'emplois qualifiés dans lesquels l'expérience professionnelle accumulée auprès d'un même employeur est davantage valorisée (TF 8C_46/2018 du 11 janvier 2019 consid. 4.4). Toutefois, la déduction en cause ne vise que les assurés ayant perdu leur place de travail pour des raisons de santé (ATF 126 V 75 consid. 5a/cc ; TF 9C_874/2014 du 2 septembre 2015 consid. 3.3.2 ; voir également David Ionta, Fixation du revenu d’invalide selon l’ESS, in Jusletter du 22 octobre 2018, p. 45). En revanche, le chômage résultant de motifs étrangers à l’invalidité n’est pas pertinent du point du vue du droit à la rente (TFA I 377/98 du 28 juillet 1999 consid. 1, in Pratique VSI 1999/6 p. 246). Dans le cas particulier, force est de constater que si l’assuré a œuvré durant dix-sept ans au sein de la même société, il se trouvait néanmoins au chômage et – corrélativement – en pleine recherche d’emploi au moment de l’accident. Dès lors que même sans l’accident du 22 juin 2018, l’intéressé aurait de toute façon dû se réadapter dans une activité autre que celle de gérant de la société H.________ Sàrl, on ne saurait opérer sur le revenu d’invalide un quelconque abattement du fait des années de service. c) Sur le vu de ce qui précède, le revenu avec invalidité doit donc être arrêté sur la base d’un montant de 5'649 fr. correspondant au salaire mensuel, part au treizième salaire comprise, versé à un homme dans le secteur privé avec un niveau de compétence 2 (ESS 2018, TA 1_tirage_skill_level). Après annualisation, il en résulte un salaire de 67'788 francs. Compte tenu de la durée hebdomadaire du travail dans les entreprises en 2018 (41,7 heures [Office fédéral de la statistique, « Durée normale du travail dans les entreprises selon la division économique »]), ce montant doit être porté à 70'668 fr. 99, auquel il convient encore d’appliquer l’évolution des salaires nominaux pour les hommes jusqu’à 2021 (2019 : + 0,9 % ; 2020 : + 0,8 % ; 2021 : + 0,5 % [Office fédéral de la statistique, « Evolution des salaires nominaux, des prix à la consommation et des salaires réels, 2010-2020 » et consid. 5b/bb/bbb supra) – ce qui conduit à un revenu annuel de 71'875 fr. 45 légèrement inférieur au montant de 73'170 fr. 99 retenu par la CNA. Comparé au gain de valide de 76'613 fr. 45, il en résulte une perte de gain de 4'738 fr. équivalant à un degré d’invalidité de 6,18 % toujours inférieur au seuil de 10 % ouvrant le droit à une rente d’invalidité de l’assurance-accidents. Le refus de rente prononcé par la CNA ne peut dès lors qu’être confirmé.</w:t>
      </w:r>
    </w:p>
    <w:p>
      <w:r>
        <w:rPr>
          <w:b/>
        </w:rPr>
        <w:t>E. 6</w:t>
      </w:r>
    </w:p>
    <w:p>
      <w:r>
        <w:t>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loc. cit.). b) La table d’indemnisation n° 5 « Atteintes à l’intégrité résultant de l’arthrose » mentionne, pour une arthrose de l’articulation sous-talienne ou sous-astragalienne (les termes talus et astragale étant synonymes [TFA U 239/05 du 31 mai 2006 consid. 4.1]), une fourchette allant de 5 à 15 % en cas d’arthrose moyenne et de 15 à 30 % en cas d’arthrose grave. c) Dans le cas particulier, après s’être fait communiquer les radiographies récentes du pied et de la cheville droits (cf. rapport d’examen final du 24 juin 2020 p. 4 et fiche de transmission du 6 juillet 2020), le Dr L.________ a pris position le 8 juillet 2020, estimant que l’atteinte à l’intégrité était de 10 % compte tenu d’une arthrose sous-talienne gauche [recte : droite] post-traumatique. Quant au Dr P.________, il a évalué l’atteinte à l’intégrité à 15 % pour une arthrose moyenne (cf. courrier électronique du 8 février 2021 et rapport du 10 février 2021). Il a plus particulièrement retenu que les radiographies standards montraient globalement un léger amincissement de l’espace articulaire, un peu plus à l’arrière, ce qui justifiait de son point de vue de retenir la partie haute de la fourchette moyenne relative à l’arthrose de l’articulation sous-astragalienne (cf. courrier électronique du 22 juin 2021 du Dr P.________). De ce qui précède, il résulte tout d’abord que tant le Dr L.________ que le Dr P.________ ont eu accès aux radiographies pertinentes et qu’ils s’accordent, sur cette base, à reconnaître un degré de gravité moyen à l’arthrose du recourant. Leurs avis divergent, en revanche, quant à l’ampleur de l’atteinte à l’intégrité induite par cette arthrose moyenne. A cet égard, il appert néanmoins que l’existence d’un léger amincissement de l’espace articulaire, tel qu’évoqué par le Dr P.________, ne suffit toutefois pas pour s’écarter de la valeur médiane de 10 % au profit de la valeur maximale de 15 %. En effet, l’arthrose est caractérisée par une détérioration du cartilage articulaire, qui amène progressivement à un rétrécissement de l’espace articulaire ou « space joint narrowing » (Imagerie et arthrose, Pascal Zufferey/Nicolas Theumann, in Revue Médicale Suisse du 14 mars 2012 p. 557 ss, spéc. p. 558 ; voir également le site internet de la Ligue suisse contre le rhumatisme www.ligues-rhumatisme.ch &gt; Rhumatismes de A à Z &gt; Arthrose). Cela étant, on ne voit pas qu’un amincissement encore léger puisse justifier à lui seul de privilégier la fourchette haute prévue par la table d’indemnisation n° 5 en cas d’arthrose modérée. En d’autres termes, les éléments mis en exergue par le Dr P.________ ne suffisent pas pour mettre en doute l’appréciation du Dr L.________ s’agissant de la quotité de l’atteinte à l’intégrité due à l’arthrose modérée affectant l’articulation sous-talienne droite. Il convient, par conséquent, de s’en tenir à l’évaluation de l’atteinte à l’intégrité émise par le médecin d’arrondissement de la CNA. Dans ces conditions, la mise en œuvre d’une expertise médicale en vue de déterminer le degré de l’atteinte à l’intégrité (cf. mémoire de recours du 1 er juillet 2021 p. 12) n’apparaît pas nécessaire et doit en conséquence être rejetée sur la base d’une appréciation anticipée des preuves (ATF 140 I 285 consid. 6.3.1 ; 134 I 140 consid. 5.3 ; 130 II 425 consid. 2.1).</w:t>
      </w:r>
    </w:p>
    <w:p>
      <w:r>
        <w:rPr>
          <w:b/>
        </w:rPr>
        <w:t>E. 7</w:t>
      </w:r>
    </w:p>
    <w:p>
      <w:r>
        <w:t>a) Il découle de ce qui précède que le recours doit être rejeté et la décision entreprise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