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83/20 - 77/2021 vom 8. Juli 2021</w:t>
      </w:r>
    </w:p>
    <w:p>
      <w:r>
        <w:t>VD Tribunal cantonal, 2021-07-08, FR</w:t>
      </w:r>
    </w:p>
    <w:p>
      <w:r>
        <w:rPr>
          <w:b/>
        </w:rPr>
        <w:t xml:space="preserve">Quelle: </w:t>
      </w:r>
      <w:r>
        <w:t>https://mcp.opencaselaw.ch/entscheid/vd_findinfo_AA_83_20_-_77_2021</w:t>
      </w:r>
    </w:p>
    <w:p>
      <w:r>
        <w:t>FR: VD_FINDINFO AA 83/20 - 77/2021 du 8 juillet 2021</w:t>
      </w:r>
    </w:p>
    <w:p>
      <w:r>
        <w:t>IT: VD_FINDINFO AA 83/20 - 77/2021 del 8 luglio 2021</w:t>
      </w:r>
    </w:p>
    <w:p>
      <w:pPr>
        <w:pStyle w:val="Heading2"/>
      </w:pPr>
      <w:r>
        <w:t>Regeste</w:t>
      </w:r>
    </w:p>
    <w:p>
      <w:r>
        <w:t>RÉCUSATION | 36 LPGA</w:t>
      </w:r>
    </w:p>
    <w:p>
      <w:pPr>
        <w:pStyle w:val="Heading2"/>
      </w:pPr>
      <w:r>
        <w:t>Erwägungen</w:t>
      </w:r>
    </w:p>
    <w:p>
      <w:r>
        <w:rPr>
          <w:b/>
        </w:rPr>
        <w:t>E. 2</w:t>
      </w:r>
    </w:p>
    <w:p>
      <w:r>
        <w:t>En l’occurrence, le litige porte sur le droit du recourant à des prestations de l’intimée au-delà du 8 janvier 2019, à raison de l’accident subi le 5 août 2018.</w:t>
      </w:r>
    </w:p>
    <w:p>
      <w:r>
        <w:rPr>
          <w:b/>
        </w:rPr>
        <w:t>E. 3</w:t>
      </w:r>
    </w:p>
    <w:p>
      <w:r>
        <w:t>A titre préalable, le recourant conteste la recevabilité des écrits du Dr D.________ des 2 novembre 2020 et 11 janvier 2021, versés par M.________ dans le cadre de la présente procédure judiciaire. L’intéressé fait plus particulièrement valoir qu’il s’agit de témoignages écrits dont la production céans le prive – tout comme le Tribunal – de la faculté de poser des questions complémentaires conformément aux art. 169 ss CPC (code de procédure civile du 19 décembre 2008 ; RS 101) (cf. réplique du 23 décembre 2020 p. 3 et déterminations du 26 janvier 2021). On relèvera toutefois, d’une part, que même en procédure civile, les dépositions écrites de témoins préparées en vue d’un procès sont généralement admises en tant que titres (art. 177 ss CPC) et que le tribunal peut en outre, à la place de l'audition de témoins, requérir des renseignements écrits de personnes dont la comparution à titre de témoin ne semble pas nécessaire (art. 190 al. 2 CPC) (François Vouilloz, Les renseignements écrits – Les dépositions écrites, in Julsetter du 15 août 2016, p. 7 ss). Le principe de l’audition de témoins selon les art. 169 ss CPC n’est donc pas absolu. D’autre part et surtout, il y a lieu de rappeler que ces dispositions de procédure civiles sont applicables par analogie en procédure administrative, en vertu de l’art. 32 LPA-VD. Or, dans un tel cas de renvoi analogique, le tribunal concerné n'est pas tenu strictement par les dispositions de la procédure civile mais dispose au contraire d'une certaine marge de manœuvre lorsqu'il les applique (TF 2C_762/2009 du 11 février 2010 consid. 5.2 et les références citées). Il lui faut, notamment, prendre en considération les spécificités de la procédure administrative, en principe écrite (art. 27 al. 1 LPA-VD), et plus spécifiquement du contentieux en matière d’assurances sociales, soumis à la maxime inquisitoire et régi par le principe de la libre appréciation des preuves (art. 61 let. c LPGA) en ce sens que la procédure n'obéit pas à des règles de preuve légales prescrivant à quelles conditions l'autorité devrait admettre que la preuve a abouti et quelle valeur probante elle devrait reconnaître aux différents moyens de preuve les uns par rapport aux autres (TF 5A.12/2006 du 23 août 2006 consid. 2.3). Cela étant, on ne saurait suivre le recourant lorsqu’il se contente d’invoquer abstraitement des règles générales de procédure civile sans égard à la présente situation, soit celle d’un recours de droit administratif en matière d’assurances sociales. Ce faisant, l’intéressé ne fait valoir aucun obstacle dirimant à la recevabilité des déclarations écrites du Dr D.________. Force est en particulier de constater que ces documents – qu’ils soient considérés comme des dépositions écrites ou des allégués de partie – ont dûment été portés à la connaissance du recourant et que celui-ci a eu tout le loisir de se positionner à leur égard, que ce soit sous l’angle des relations entre les Drs D.________ et Q.________ ou de l’aspect strictement médical (cf. réplique du 23 décembre 2020 et déterminations du 26 janvier 2021). Tout au plus relèvera-t-on encore que, quand bien même l’avis du 2 novembre 2020 n’est pas signé (cf. réplique du 23 décembre 2020 p. 3), le Dr D.________ a précisé le 11 janvier 2021 qu’il en était bien l’auteur, ce dont le Tribunal ne voit aucune raison de douter. Il découle de ce qui précède que les écrits du Dr D.________ des 2 novembre 2020 et 11 janvier 2021 doivent donc être considérés comme recevables.</w:t>
      </w:r>
    </w:p>
    <w:p>
      <w:r>
        <w:rPr>
          <w:b/>
        </w:rPr>
        <w:t>E. 4</w:t>
      </w:r>
    </w:p>
    <w:p>
      <w:r>
        <w:t>a) Aux termes de l’art. 6 al. 1 LAA, si la loi n’en dispose pas autrement, les prestations d’assurance sont allouées en cas d’accident professionnel, d’accident non professionnel et de maladie professionnelle. 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b) Aux termes de l’art. 6 al. 2 let. a et f LAA, l’assurance-accidents alloue ses prestations en cas de fractures et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c)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w:t>
      </w:r>
    </w:p>
    <w:p>
      <w:r>
        <w:rPr>
          <w:b/>
        </w:rPr>
        <w:t>E. 5</w:t>
      </w:r>
    </w:p>
    <w:p>
      <w:r>
        <w:t>Pour statuer sur le droit aux prestations du recourant des suites de la chute à vélo survenue le 5 août 2018, l’intimée s’est fondée sur le rapport d’expertise rendu le 12 novembre 2019 par le Dr Q.________ et son complément du 10 mars 2020. Le recourant, quant à lui, conteste la valeur probante de cette expertise en mettant notamment en cause l’impartialité de l’expert Q.________, dans la mesure où ce dernier et le Dr D.________ œuvrent au sein d’un cabinet de groupe. a) L’art. 44 LPGA prévoit que si l'assureur doit recourir aux services d'un expert indépendant pour élucider les faits, il donne connaissance du nom de celui-ci aux parties, lesquelles peuvent récuser l'expert pour des raisons pertinentes et présenter des contre-propositions. La communication du nom de l'expert doit permettre à l'assuré de reconnaître s'il s'agit d'une personne à l'encontre de laquelle il pourrait disposer d'un motif de récusation. Lorsque l'intéressé soulève des objections quant à la personne de l'expert, l’assureur doit se prononcer à leur sujet avant le commencement de l'expertise (ATF 146 V 9 consid. 4.2.1 et les références citées). Si un motif de récusation n’est découvert qu’au moment de la réalisation de l’expertise ou après celle-ci, le motif de récusation doit être invoqué dès que possible – soit, en principe, dès que le plaideur a connaissance du motif, faute de quoi il est réputé avoir tacitement renoncé à s’en prévaloir. Il est en effet contraire au principe de la bonne foi d’attendre l’issue d’une procédure pour ensuite, à l’occasion d’un recours, tirer argument du motif de récusation qui était connu auparavant (Jacques Olivier Piguet, in Dupont/Moser-Szeless [édit.], Commentaire romand, Loi sur la partie générale des assurances sociales, Bâle 2018, n° 47 ad art. 44 LPGA). Une violation des règles relatives à la récusation peut néanmoins être constatée d’office, notamment dans le contexte de l’appréciation de la valeur probante d’un rapport d’expertise. Mais sauf cas grave, le juge ne devrait pas être tenu de compléter l’instruction pour vérifier le bien-fondé d’un tel grief lorsqu’il est soulevé tardivement (Jean Métral, in Dupont/Moser-Szeless, op. cit., n° 33 ad art. 56 LPGA). En l’occurrence, il y a lieu d’admettre que le motif de récusation n’a pas été invoqué tardivement. A cet égard, force est de souligner que le recourant n’avait aucune obligation générale – légale ou jurisprudentielle – d’effectuer des recherches quant à la personne de l’expert, singulièrement quant aux liens entretenus par ce dernier avec d’autres praticiens et avec le Dr D.________ plus spécifiquement. On ne saurait, en outre, reprocher à l’assuré de ne pas avoir immédiatement réagi lorsqu’il s’est rendu dans les locaux partagés par les Drs Q.________ et D.________ le jour de l’expertise, le 11 septembre 2019. En l’état du dossier, rien ne tend en effet à démontrer que la configuration des locaux permettait d’identifier clairement ses occupants et de reconnaître parmi eux le médecin-conseil de l’intimée. Ce constat demeure inchangé quand bien même le nom des Drs D.________ et Q.________ figurerait à l’entrée du cabinet. A ce propos, il faut relever que le recourant n’a jamais été examiné personnellement par le Dr D.________ et qu’il a tout au plus eu connaissance du nom de celui-ci à la lecture des certaines correspondances de M.________ (notamment un courrier du 17 décembre 2018 et la décision du 6 février 2019, adressés à l’assuré alors non représenté) largement antérieures à l’expertise. De telles circonstances n’étaient à l’évidence pas propres à lui faire garder en mémoire l’identité exacte du médecin-conseil de l’intimée, ni à faire le rapprochement avec le Dr D.________ le jour de l’expertise. Ce rapprochement n’a, en définitive, été fait que fortuitement, à la faveur d’un changement de mandataire dans les suites de la décision sur opposition du 14 juillet 2020, après quoi le motif de récusation en découlant a été directement invoqué devant M.________ puis auprès de la Cour de céans – soit un enchaînement chronologique qui n’apparaît en rien contraire au principe de la bonne foi. En tout état de cause, même à supposer que les circonstances décrites ci-dessus soient constitutives d’un motif de récusation invoqué tardivement, il reste que ce retard ne serait pas imputable à un comportement délibéré du recourant qui aurait patienté jusqu’à la présente procédure pour se prévaloir d’un grief déjà connu auparavant ; sous cet angle, il y a lieu de reconnaître la bonne foi subjective de l’intéressé. En outre, les éléments au dossier démontrent sans équivoque que le motif de récusation invoqué à l’encontre de l’expert Q.________ s’avère manifestement bien fondé (cf. consid. 5b infra). Dans ces conditions, la Cour de céans serait quoi qu’il en soit habilitée à se saisir d’office de la question, nonobstant l’éventuelle tardiveté du grief. b) Sont de nature formelle les motifs de récusation qui sont énoncés dans la loi (art. 10 PA [loi fédérale du 20 décembre 1968 sur la procédure administrative ; RS 172.021] et 36 al. 1 LPGA) parce qu'ils sont propres à éveiller la méfiance à l'égard de l'impartialité de l'expert. Ainsi,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9C_180/2013 du 31 décembre 2013 consid. 2.2 et les références citées). En l’espèce, le recourant met en cause l’impartialité de l’expert Q.________ au motif que celui-ci est l’associé du Dr D.________. A cet égard, il est admis que ces deux médecins exploitent ensemble un cabinet de groupe. Il apparaît par ailleurs que c’est le Dr D.________ qui, initialement, a proposé de confier un mandat d’expertise à son confrère et associé le Dr Q.________ (cf. avis du 26 juillet 2019) tout en avançant également le nom de deux autres confrères (les Drs [...] et [...]).M.________, donnant suite à la proposition de son médecin-conseil, a désigné expert l’associé de ce dernier. C’est ainsi après avoir successivement fait appel à un médecin-conseil et à un expert médical œuvrant au sein du même cabinet de groupe que M.________ a statué sur le cas de l’assuré. Cela étant, quand bien même le Dr D.________ a ultérieurement mis en avant le fait que le Dr Q.________ et lui se limitaient à partager des locaux et les frais y relatifs tout en demeurant indépendants dans l’exercice de leurs activités respectives (cf. écrits des 2 novembre 2020 et 11 janvier 2021), il reste qu’une telle constellation était de nature à créer objectivement l’apparence d’une prévention, dans la mesure où deux spécialistes exploitant un même cabinet de groupe – qui plus est, un cabinet de petite taille impliquant des contacts autrement plus fréquents et étroits que ceux d’experts œuvrant au sein d’un même centre d’expertise – ont en définitive été sollicités par M.________ aux fins d’émettre des appréciations décisives pour la prise de décision de l’intimée. Sous cet angle, le grief apparaît donc fondé. Au surplus, on ne saurait tenir pour déterminant le renvoi opéré par l’intimée à un arrêt rendu par la justice valaisanne le 13 mars 2013 (cf. courrier électronique de M.________ du 28 juillet 2020 et réponse du 5 novembre 2020 p. 21), cet arrêt n’abordant pas la problématique soulevée par le recourant quant aux relations entre les Drs D.________ et Q.________. c) A la lumière de ce qui précède, force est d’admettre la réalisation d’un motif de récusation à l’encontre du Dr Q.________, justifiant d’écarter l’appréciation émise par ce médecin. Entachés d’un vice formel, le rapport d’expertise du 12 novembre 2019 et son complément du 10 mars 2020 ne peuvent donc se voir reconnaître valeur probante. Il s’ensuit qu’à défaut d’appréciation spécialisée départageant les avis divergents émis par les Drs D.________, V.________ et N.________, la Cour de céans ne se trouve pas en mesure de trancher le fond de l’affaire. En conséquence, il y a lieu de renvoyer la cause à l’intimée, dès lors qu’il lui appartient au premier chef d’instruire conformément au principe inquisitoire qui régit la procédure dans le domaine des assurances sociales. Il incombera ainsi à M.________ de mettre en œuvre une nouvelle expertise orthopédique satisfaisant aux exigences légales en la matière, en particulier les art. 36 et 44 LPGA. Il lui reviendra ensuite de statuer à nouveau sur le droit aux prestations du recourant au-delà du 8 janvier 2019, des suites de l’accident subi le 5 août 2018. Vu l’issue du recours, il n’y a pas lieu de se prononcer sur les autres arguments et réquisitions des parties.</w:t>
      </w:r>
    </w:p>
    <w:p>
      <w:r>
        <w:rPr>
          <w:b/>
        </w:rPr>
        <w:t>E. 6</w:t>
      </w:r>
    </w:p>
    <w:p>
      <w:r>
        <w:t>a) En conclusion, le recours doit être admis et la décision sur opposition litigieuse annulée, la cause étant renvoyée à l’intimée pour complément d’instruction dans le sens des considérants et nouvelle décision. b) Il n’y a pas lieu de percevoir de frais judiciaires, la procédure étant gratuite (art. 61 let. a LPGA dans sa teneur en vigueur jusqu’au 31 décembre 2020, applicable en l’occurrence selon l’art. 82a LPGA).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