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83/14 - 66/2015 vom 16. Juni 2015</w:t>
      </w:r>
    </w:p>
    <w:p>
      <w:r>
        <w:t>VD Tribunal cantonal, 2015-06-16, FR</w:t>
      </w:r>
    </w:p>
    <w:p>
      <w:r>
        <w:rPr>
          <w:b/>
        </w:rPr>
        <w:t xml:space="preserve">Quelle: </w:t>
      </w:r>
      <w:r>
        <w:t>https://mcp.opencaselaw.ch/entscheid/vd_findinfo_AA_83_14_-_66_2015</w:t>
      </w:r>
    </w:p>
    <w:p>
      <w:r>
        <w:t>FR: VD_FINDINFO AA 83/14 - 66/2015 du 16 juin 2015</w:t>
      </w:r>
    </w:p>
    <w:p>
      <w:r>
        <w:t>IT: VD_FINDINFO AA 83/14 - 66/2015 del 16 giugno 2015</w:t>
      </w:r>
    </w:p>
    <w:p>
      <w:pPr>
        <w:pStyle w:val="Heading2"/>
      </w:pPr>
      <w:r>
        <w:t>Regeste</w:t>
      </w:r>
    </w:p>
    <w:p>
      <w:r>
        <w:t>ÉVALUATION DE L'INVALIDITÉ, COMPARAISON DES REVENUS, RENTE COMPLÉMENTAIRE{AA}, ASSISTANCE JUDICIAIRE | 18 LAA, 16 LPGA</w:t>
      </w:r>
    </w:p>
    <w:p>
      <w:pPr>
        <w:pStyle w:val="Heading2"/>
      </w:pPr>
      <w:r>
        <w:t>Erwägungen</w:t>
      </w:r>
    </w:p>
    <w:p>
      <w:r>
        <w:rPr>
          <w:b/>
        </w:rPr>
        <w:t>E. 5</w:t>
      </w:r>
    </w:p>
    <w:p>
      <w:r>
        <w:t>En second lieu, il s’agit de se déterminer sur le seul objet demeurant litigieux, soit sur le calcul du préjudice économique et le degré d’invalidité présenté par la recourante.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Jean-Maurice Frésard/Margit Moser-Szeless, L'assurance-accidents obligatoire, in : Schweizerisches Bundesverwaltungsrecht, Soziale Sicherheit, 2 ème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b)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n° 165 pp. 898-899). Pour procéder à la comparaison des revenus, il convient de se placer au moment de la naissance du droit éventuel à la rente (ATF 129 V 222 ; TF 9C_254/2010 du 29 octobre 2010 consid. 4.2). c) A teneur de l’art. 28 al. 2 OLAA (ordonnance du 20 décembre 1982 sur l’assurance-accidents ; RS 832.202), chez les assurés qui exercent simultanément plusieurs activités salariées, le degré d’invalidité est déterminé en fonction de l’incapacité subie dans l’ensemble de ces activités.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 En l’espèce, la recourante ne remet pas en cause le revenu hypothétique sans invalidité arrêté sur la base de ses propres déclarations à 52'030 fr. 40 par l'intimée dans sa réponse au recours du 6 octobre 2014. On notera à toutes fins utiles que l’assurée exerçait des activités lucratives auprès du Supermarché C.________ à hauteur de 50% – taux susceptible d’augmentation ultérieure en fonction de ses disponibilités –, ainsi que de la société O.________ à concurrence de quelques heures par semaine. Elle se chargeait également de conciergerie en collaboration avec son conjoint et effectuait des ménages privés. Ainsi qu’elle l’a déclaré à l’inspecteur des sinistres de la F.________SA le 3 novembre 2009, elle avait toutefois d’ores et déjà envisagé la résiliation de son contrat de travail avec la O.________, vu la conclusion d’un contrat avec le Supermarché C.________. Dès lors, à l’instar de l’intimée, il apparaît parfaitement plausible que l’assurée en bonne santé aurait déployé une activité d’employée de supermarché à 80%, tout en conservant la tenue de ménages privés et en adaptant à la baisse son engagement en qualité de concierge en concertation avec son époux. Le revenu hypothétique sans invalidité, constitué d’un revenu de 38’230 fr. 40 après actualisation à 2011, tel que réalisable à 80% au sein du Supermarché C.________, d’un gain annuel de 3'800 fr. en tant que femme de ménage et de 10'000 fr. en tant que concierge, soit un total de 52'030 fr. 40, peut en conséquence être confirmé. d) En l’absence d’un revenu effectivement réalisé – soit lorsque la personne assurée, après la survenance de l’atteinte à la santé, n’a pas repris d’activité lucrative ou alors une activité ne correspondant pas à l’exigibilité – le revenu d’invalide peut être évalué sur la base de salaires fondés sur les données statistiques résultant de l'ESS ou sur les données salariales résultant des descriptions de postes de travail (DPT) établies par la CNA (ATF 135 V 297 consid. 5.2 et 129 V 472 consid. 4.2.1 ; TF 8C_287/2010 du 18 novembre 2010 consid. 3).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extraites de l’ESS pour apprécier le salaire d’invalide, même si le Tribunal fédéral a renoncé à donner la préférence à l’une ou l’autre de ces méthode d’évaluation (ATF 129 V 472 consid. 4.2 ; cf. Frésard/Moser-Szeless, op. cit., p. 901). En matière LAA, il est donc possible, mais non impératif, de recourir aux ESS pour déterminer le revenu d’invalide (ATF 135 V 297 consid. 5.2). Cas échéant, on se réfère alors à la statistique des salaires bruts standardisés, en se fondant toujours sur la médiane ou valeur centrale (ATF 124 V 323 consid. 3b/bb ; TF I 7/2006 du 12 janvier 2007 consid. 5.2 ; Pratique VSI 1999 p. 182). En outre, dans l’hypothèse d’un recours à l’ESS, une déduction supplémentaire des salaires statistiques peut être opérée dont la mesure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in fine ; 134 V 322 consid. 5.2 ; 126 V 75 consid. 5b/aa-cc ; TF 9C_704/2008 du</w:t>
      </w:r>
    </w:p>
    <w:p>
      <w:r>
        <w:rPr>
          <w:b/>
        </w:rPr>
        <w:t>E. 6</w:t>
      </w:r>
    </w:p>
    <w:p>
      <w:r>
        <w:t>Vu les éléments qui précèdent, le recours, mal fondé, doit être rejeté sous suite de confirmation de la décision sur opposition du 24 juillet 2014. a) La procédure étant gratuite, il n'est pas perçu de frais de justice (cf. art. 61 let. a LPGA). b) Par ailleurs, la recourante, qui n’obtient pas gain de cause, n’a pas droit à des dépens. Quoique l’intimée obtienne en revanche gain de cause, elle ne saurait prétendre des dépens de la part de la recourante. En effet, selon la jurisprudence, l’assureur social qui obtient gain de cause devant une juridiction de première instance n’a pas droit à des dépens, sous réserve du cas où le demandeur a agi de manière téméraire ou témoigné de légèreté (cf. art. 61 let. g LPGA ; ATF 126 V 143 consid. 4), ce qui n’est pas réalisé en l’espèce. En outre, la U.________SA, en sa qualité d’assureur social, dispose d’un service juridique interne susceptible de la représenter dans l’accomplissement de ses tâches de droit public (cf. ATF 134 V 340). c) Lorsqu'une partie a été mise au bénéfice de l'assistance judiciaire, une équitable indemnité au conseil juridique désigné d'office pour la procédure est supportée par le canton (art. 122 al. 1 let. a et b CPC [code fédéral de procédure civile du 19 décembre 2008 ; RS 272], applicable par renvoi de l'art. 18 al. 5 LPA-VD). L'octroi de l'assistance judiciaire ne libère toutefois que provisoirement la partie qui en bénéficie du paiement de l’indemnité ; celle-ci est en effet tenue à remboursement dès qu'elle est en mesure de le faire (art. 123 CPC, applicable par renvoi de l'art. 18 al. 5 LPA-VD). La recourante bénéficie, au titre de l'assistance judiciaire, de la commission d'office d'un avocat en la personne de Me Laurent Gillard jusqu'au terme de la présente procédure (art. 118 al. 1 let. c CPC, applicable par renvoi de l'art. 18 al. 5 LPA-VD). Le 12 janvier 2015, Me Gilliard a produit le relevé des opérations effectuées pour le compte de l’assurée. Son activité a été contrôlée au regard de la conduite du procès et rentre globalement dans le cadre du bon accomplissement du mandat. Elle doit être arrêtée, pour la période du 2 septembre 2014 au 20 janvier 2015 inclus, à six heures au tarif horaire de 180 fr. (art. 2 al. 1 let. a RAJ [règlement cantonal vaudois du 7 décembre 2010 sur l'assistance judiciaire civile ; RSV 211.02.3]), à quoi s'ajoutent les débours par 10 fr. 40 et la TVA au taux de 8%, ce qui représente un montant total de 1’177 fr. 65 pour l'ensemble de l'activité déployée dans la présente cause. Cette rémunération est provisoirement supportée par le canton, la recourante étant rendu attentive au fait qu'elle est tenu d'en rembourser le montant dès qu'elle sera en mesure de le faire (art. 123 al. 1 CPC).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