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80/20 - 47/2021 vom 4. Mai 2021</w:t>
      </w:r>
    </w:p>
    <w:p>
      <w:r>
        <w:t>VD Tribunal cantonal, 2021-05-04, FR</w:t>
      </w:r>
    </w:p>
    <w:p>
      <w:r>
        <w:rPr>
          <w:b/>
        </w:rPr>
        <w:t xml:space="preserve">Quelle: </w:t>
      </w:r>
      <w:r>
        <w:t>https://mcp.opencaselaw.ch/entscheid/vd_findinfo_AA_80_20_-_47_2021</w:t>
      </w:r>
    </w:p>
    <w:p>
      <w:r>
        <w:t>FR: VD_FINDINFO AA 80/20 - 47/2021 du 4 mai 2021</w:t>
      </w:r>
    </w:p>
    <w:p>
      <w:r>
        <w:t>IT: VD_FINDINFO AA 80/20 - 47/2021 del 4 maggio 2021</w:t>
      </w:r>
    </w:p>
    <w:p>
      <w:pPr>
        <w:pStyle w:val="Heading2"/>
      </w:pPr>
      <w:r>
        <w:t>Regeste</w:t>
      </w:r>
    </w:p>
    <w:p>
      <w:r>
        <w:t>REJET DE LA DEMANDE, OBJET DU LITIGE, APPRÉCIATION ANTICIPÉE DES PREUVES, ACCIDENT DE GRAVITÉ MOYENNE, ATTEINTE À LA SANTÉ PHYSIQUE, ATTEINTE À LA SANTÉ PSYCHIQUE, CAUSALITÉ ADÉQUATE, LÉSION DE LA JAMBE, COMPARAISON DES REVENUS, REVENU D'INVALIDE, REVENU SANS INVALIDITÉ, INDEMNITÉ POUR ATTEINTE À L'INTÉGRITÉ, RESTITUTION{EN GÉNÉRAL}, PRESTATION D'ASSURANCE INDUE, MARCHÉ ÉQUILIBRÉ DU TRAVAIL | 18 al. 1 LAA, 24 al. 1 LAA, 6 al. 1 LAA, 16 LPGA, 25 al. 1 LPGA, 53 LPGA</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5</w:t>
      </w:r>
    </w:p>
    <w:p>
      <w:r>
        <w:t>a) Il n’est pas contesté que le recourant présente à la suite de l’accident dont il a été victime le 22 mars 2017 des séquelles définitives au membre inférieur gauche. Est litigieuse la question de savoir s’il dispose d’une capacité résiduelle de travail dans une activité adaptée à ses limitations fonctionnelles. aa) A titre liminaire, il convient de souligner que cette question ne doit être examinée qu’à la seule lumière des atteintes à la santé en rapport de causalité naturelle et adéquate avec l’événement traumatique du 22 mars 2017. En d’autres termes, il n’y a pas lieu de tenir compte, dans le cadre de l’examen du droit à une rente d’invalidité de l’assurance-accidents, de la myélopathie cervicale et des dysesthésies irradiant dans les membres supérieurs (cf. rapport de la Dre C.________ du 26 octobre 2020), mais uniquement des séquelles liées à la fracture sous-trochantérienne du fémur gauche. bb) Se fondant sur l’analyse de son médecin d’arrondissement (cf. rapports du Dr Z.________ des 14 février et 6 juin 2018), laquelle a été confirmée par l’expertise du Dr D.________ (rapport du 25 octobre 2019), l’intimée a retenu que la situation médicale de l’assuré était stabilisée. Sur le plan clinique, l’expert a relevé que le muscle moyen fessier était fonctionnel de même que pour les autres structures musculaires régionales fessières et de la cuisse. Il a en outre souligné que le matériel d’ostéosynthèse était intègre, sans liséré suspect, sans protrusion inadéquate de la vis céphalique ou des vis distales. Tout au plus a-t-il concédé que l’intervention chirurgicale pratiquée pouvait usuellement être responsable de douleurs péri-trochantériennes d’effort, durables, lesquelles étaient probablement en lien avec le traumatisme musculaire (celui du moyen fessier) au moment du passage du clou (et des alésoirs). Dans la mesure où, en l’occurrence, les douleurs étaient a priori modérées, un traitement antalgique simple était de nature à les soulager. Dès lors que les éléments objectifs étaient favorables (bonnes amplitudes articulaires, amyotrophie quadricipitale modérée et fonction adéquate des muscles fessiers), le suivi de physiothérapie ne se justifiait plus et pouvait sans autre être remplacé par un programme d’auto-entraînement visant l’entretien des amplitudes articulaires et du tonus musculaire. Quant au raccourcissement du fémur gauche, il n’était pas responsable de troubles fonctionnels significatifs et pouvait aisément être compensé par un rehaussement de la chaussure gauche afin de permettre un rééquilibrage de la zone lombo-pelvienne. Le Dr D.________ n’a par ailleurs pas évoqué la nécessité d’une opération et aucun élément au dossier ne laisse à penser qu’une nouvelle intervention chirurgicale ou tout autre traitement serait susceptible d’améliorer la situation. Dans ces conditions, l’intimée n’a pas violé le droit fédéral en considérant qu’elle était fondée à mettre fin au versement des indemnités journalières et à passer à l’examen du droit à la rente. cc) S’agissant de la capacité de travail, le Dr D.________ a estimé qu’elle était significativement réduite dans l’activité d’aide-paysagiste, autrement dit qu’elle n’excédait pas 50 %. Il en allait de même dans d’autres professions exercées par l’assuré telles celles d’aide-étancheur ou d’aide-monteur de lignes à haute tension. Cette diminution de la capacité de travail s’expliquait par la fatigabilité induite par des déplacements en terrain inégal, voire par un manque de force de la cuisse en cas d’accroupissement/agenouillement répété ou en cas de montée/descente d’escaliers répétée. Dans une activité adaptée, exercée de préférence en position assise et compatible avec les limitations précitées, auxquelles il convenait d’ajouter l’interdiction de porter des charge supérieures à 10-15 kg sur quelques dizaines de mètres, la capacité de travail était entière. Tel était le cas d’une activité de type bureautique ou informatique, de contrôleur, voire éventuellement d’ouvrier sur une chaîne de montage qui manie des objets légers ou d’empaquetage, ou encore de représentant. dd) Le dossier ne contient aucune appréciation médicale propre à susciter des doutes quant au bien-fondé du rapport d’expertise du 25 octobre 2019, si bien qu’il n’y a pas lieu de s’en écarter. ee) Sur la base des conclusions de l’expertise du Dr D.________, il convient de retenir que le recourant dispose d’une pleine capacité de travail dans une activité adaptée à ses limitations fonctionnelles. ff) Les renseignements médicaux étant complets et permettant à la Cour de céans de statuer en pleine connaissance de cause, la mise en œuvre de mesures d’instruction complémentaires requise par le recourant n’apparaît pas de nature à apporter un éclairage différent sur les éléments retenus ci-dessus et peut dès lors être écartée par appréciation anticipée des preuves (ATF 144 II 427 consid. 3.1.3 ; 140 I 285 consid. 6.3.1). b) Le recourant doute d’être en mesure de travailler à 100 % dans une activité adaptée, ce qui revient à examiner si l’exercice d’une activité telle que décrite par le Dr D.________ est exigible de sa part. 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bb) Sur le plan personnel et professionnel, la mise en valeur de la capacité résiduelle de travail dans une activité adaptée apparaît exigible. Si l'âge du recourant (55 ans lorsque la décision attaquée a été rendue), les restrictions induites par ses limitations fonctionnelles et son éloignement prolongé du marché du travail peuvent limiter dans une certaine mesure ses possibilités de retrouver un emploi, on ne saurait considérer qu'ils rendent cette perspective illusoire. Le marché du travail offre un large éventail d'activités légères dont on doit convenir qu’un nombre significatif sont adaptées aux limitations du recourant et accessibles sans aucune formation particulière. A cet égard, le recourant n’établit pas de manière convaincante en quoi des activités simples de montage, de vérification ou de contrôle ne seraient pas exigibles au regard des limitations retenues. On rappellera au demeurant qu’il n’y a pas lieu, dans ce contexte, d’examiner dans quelle mesure la situation concrète du marché du travail permettrait au recourant de retrouver un emploi.</w:t>
      </w:r>
    </w:p>
    <w:p>
      <w:r>
        <w:rPr>
          <w:b/>
        </w:rPr>
        <w:t>E. 6</w:t>
      </w:r>
    </w:p>
    <w:p>
      <w:r>
        <w:t>Cela étant constaté, il s’agit de déterminer le degré d’invalidité du recourant.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bb) Il ressort en l’occurrence du dossier qu’il convient de retenir comme année de référence pour procéder à la comparaison des revenus l'année 2018. b)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bb) Lorsque la perte de l’emploi est due à des motifs étrangers à l’invalidité, le revenu sans invalidité doit être établi sur la base de valeurs statistiques ou de moyennes.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8C_709/2018 du 18 juin 2019 consid. 3 et les références citées). cc) En l’espèce, le recourant a perdu son emploi pour des motifs étrangers à l'invalidité, de sorte que le revenu qu'il percevait auprès de son dernier employeur n'est pas déterminant. En retenant que le recourant avait travaillé durant quatre ans comme aide-paysagiste et qu’il aurait plus que probablement continué à travailler dans ce secteur d’activité, l’intimée n’a pas violé le droit fédéral en déterminant le revenu sans invalidité sur la base du salaire minimum prévu par la Convention collective de travail des paysagistes et entrepreneurs de jardins du canton de Vaud plutôt que sur la base des données statistiques issues de l’Enquête suisse sur la structure des salaires. Comme la jurisprudence l’a souligné, un tel salaire est, pour une personne ne bénéficiant d’aucune formation reconnue dans la branche en question, plus précis que celui ressortant des données statistiques (TF 8C_141/2016 et 8C_142/2016 du 17 mai 2016 consid. 5.2.2.3). Le revenu de 56'366 fr. retenu par l’intimée ne prête par conséquent pas le flanc à la critique. c)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(ATF 129 V 472 consid. 4.2.1). bb)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134 V 322 consid. 5.2 ; 126 V 75 consid. 5b/aa-cc;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l'assurance-accident et voir si un abattement plus ou moins élevé, mais limité à 25 %, serait mieux approprié et s'imposerait pour un motif pertinent, sans toutefois substituer sa propre appréciation à celle de l'administration (cf. ATF 137 V 71 consid. 5.2). cc) En l’occurrence, l’intimée s’est fondée pour fixer le revenu d'invalide sur le revenu auquel peuvent prétendre les hommes effectuant des activités simples et répétitives dans le secteur privé, tel qu’il ressort de l’Enquête suisse sur la structure des salaires 2018 (ESS), éditée par l’Office fédéral de la statistique (OFS), soit un montant mensuel de 5'417 francs.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dès lors être adapté à la durée hebdomadaire usuelle dans les entreprises en 2018, soit 41,7 heures. Le revenu annuel brut s’élève par conséquent à 67'767 francs. dd) En ce qui concerne la question de l’abattement sur le salaire statistique, il n’y a pas lieu de s’écarter du taux de 5 % retenu par l’intimée. Celui-ci tient compte de manière appropriée des effets que l’atteinte à la santé peut jouer concrètement sur ses perspectives salariales dans le cadre de l'exercice d'une activité simple, légère et ne nécessitant pas de formation particulière. Il n’y a pas lieu de tenir compte d’autres facteurs en l’espèce qui pourraient lui porter préjudice sur le plan salarial. Le recourant, âgé de 56 ans, est au bénéfice d’une autorisation d’établissement (permis C) et ses origines ne l’ont pas empêché de trouver plusieurs emplois depuis son arrivée en Suisse en 1997. Il s’ensuit que le montant du revenu d’invalide doit être fixé à 64'378 francs. d) La comparaison d'un revenu sans invalidité de 56’366 fr. avec un revenu d'invalide de 64'378 fr. aboutit au constat de l’absence de perte de capacité de gain. En ce sens, la décision attaquée, en tant qu’elle constate l’absence de droit à une rente d’invalidité de l’assurance-accident doit être confirmée.</w:t>
      </w:r>
    </w:p>
    <w:p>
      <w:r>
        <w:rPr>
          <w:b/>
        </w:rPr>
        <w:t>E. 7</w:t>
      </w:r>
    </w:p>
    <w:p>
      <w:r>
        <w:t>a) Estimant que les troubles psychiatriques mentionnés par le Dr R.________ dans son rapport du 22 octobre 2020 sont en lien de causalité naturelle et adéquate avec l’événement traumatique du 22 mars 2017, le recourant réclame la prise en charge des traitements médicaux relatifs à cette atteinte et sa prise en compte dans l’évaluation de son degré d’invalidité. b) Cela étant, même si l’on admettait que les atteintes alléguées par le recourant étaient en relation de causalité naturelle avec l’accident assuré, il ne serait en tout état de cause pas possible d’admettre qu’elles sont en relation de causalité adéquate avec celui-ci. c)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 comme par exemple le cas d’une glissade (ATF 115 V 133 consid. 6a),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 Si le fait de se coincer la jambe a pu subjectivement revêtir chez l’intéressé un caractère relativement impressionnant, le déroulement de l’accident du 22 mars 2017 n’apparaît pas du point de vue objectif – seul déterminant en l’espèce – particulièrement dramatique. Ainsi, cet accident peut, tout au plus, être qualifié de gravité moyenne stricto sensu , au vu des forces générées. Dans une telle éventualité, pour que l’on puisse admettre le caractère adéquat de l’atteinte psychique, il faut un cumul de trois critères sur les sept ou au moins que l'un des critères retenus se soit manifesté de manière particulièrement marquante pour l'accident (TF 8C_493/2017 du 10 juillet 2018 consid. 2.2 et les références citées). Les exigences quant à ces critères seront d’autant plus strictes qu’au sein des accidents de gravité moyenne, l’accident sera considéré comme léger (ATF 115 V 133 consid. 6c/bb). Or tel n’est pas le cas en l’espèce. En effet, l’événement litigieux ne présentait pas de circonstances concomitantes particulièrement dramatiques et n’a pas causé de lésions physiques propres à entraîner des troubles psychiques. De même, il n’y a pas eu d’erreur dans le traitement médical. Il n’existe pas à proprement parler d’indices pour admettre des difficultés ou complications importantes au cours de la guérison, hormis la persistance de la symptomatologie douloureuse due au retard de consolidation de la fracture. Si les suites de l’intervention chirurgicale des 22/23 mars 2017 ont certes pu être compliquées par un retard de consolidation, la radiographie de la hanche gauche pratiquée le 2 mars 2018 pendant le séjour à la Clinique M.________ a objectivé la consolidation de la fracture, ce qui a motivé la mise en place d’un traitement conservateur. S’agissant des douleurs physiques persistantes, le Dr D.________ a estimé que les éléments objectifs jouaient un rôle mineur dans les plaintes rapportées par l’assuré (douleurs fessières à l’effort prolongé) avec pour corollaire que l’état de santé était probablement influencé par des facteurs étrangers à l’accident. Les médecins de la Clinique M.________ avaient du reste déjà souligné l’importance des facteurs contextuels dans les plaintes et les limitations fonctionnelles mentionnées par l’intéressé ; outre une cotation élevée de la douleur, une sous-estimation majeure de ses capacités fonctionnelles associée à une kinésiophobie et un catastrophisme élevé influençaient défavorablement le retour au travail. Or l’intensité des douleurs doit être examinée au regard de leur crédibilité, ainsi que de l’empêchement qu’elles entraînent dans la vie quotidienne (ATF 134 V 109 consid. 10.2.4 ; TF 8C_459/2017 du 16 avril 2018 consid. 5.2). A cet égard, il convient de relever que les médecins de la Clinique M.________ ont fait état d’incohérences entre les évaluations effectuées et les observations réalisées en-dehors d’un contexte thérapeutique. Quant au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(TF 8C_208/2016 du 9 mars 2017 consid. 4.1.2). En l'espèce, l'appréciation du Dr Z.________ selon laquelle le recourant est objectivement en mesure d'exercer à 100 % une activité adaptée à ses limitations fonctionnelles depuis l'examen final du 6 juin 2018 n'est pas véritablement contredite si ce n’est par la Dre C.________, laquelle prend toutefois en considération des atteintes étrangères à l’accident du 22 mars 2017 (cf. considérant 5a/aa ci-dessus). L’avis du médecin d’arrondissement de la CNA a d’ailleurs été confirmé par le Dr D.________ (rapport du 25 octobre 2019) avant l'évolution défavorable de l'état de santé psychique de l'assuré. Ce critère ne peut donc pas être retenu. e) En fin de compte, aucune des conditions alternatives pour qu'un lien de causalité adéquate entre les troubles psychiques et un accident de gravité moyenne soit admis n’est réalisée dans le cas présent. Partant, l’intimée n’a pas à prendre en charge les frais médicaux en lien avec le traitement des troubles psychiatriques dont souffre le recourant.</w:t>
      </w:r>
    </w:p>
    <w:p>
      <w:r>
        <w:rPr>
          <w:b/>
        </w:rPr>
        <w:t>E. 8</w:t>
      </w:r>
    </w:p>
    <w:p>
      <w:r>
        <w:t>mars 2018 consid. 5.1) et permettent de procéder à une appréciation plus nuancée, lorsque l’atteinte d’un organe n’est que partielle.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d) En l’occurrence, il sied de constater que l’intimée, en n’allouant pas d’indemnité pour atteinte à l’intégrité, n’a pas violé le droit fédéral. D’après la Table 2 d’indemnisation des atteintes à l’intégrité selon la LAA (atteintes à l’intégrité résultant de troubles fonctionnels des membres inférieurs), le raccourcissement d’un membre inférieur à 2 centimètres, sans autres altérations morphologiques ou fonctionnelles, ne donnent pas droit à une indemnité pour atteinte à l’intégrité. Dans son rapport d’expertise du 25 octobre 2019, le Dr D.________ a constaté que le raccourcissement du fémur (gauche) était de l’ordre de 1,5 centimètres en raison d’un téléscopage fracturaire. De même, l’examen orthopédique pratiqué à la Clinique M.________ avait mis en évidence un raccourcissement de 1 à 1,5 centimètres ayant conduit à la mise en place d’une talonnette de 1,5 centimètres (cf. rapport du 12 avril 2018). La décision de l’intimée doit par conséquent également être confirmée en tant qu’elle concerne le droit à une indemnité pour atteinte à l’intégrité.</w:t>
      </w:r>
    </w:p>
    <w:p>
      <w:r>
        <w:rPr>
          <w:b/>
        </w:rPr>
        <w:t>E. 9</w:t>
      </w:r>
    </w:p>
    <w:p>
      <w:r>
        <w:t>Il y a lieu finalement d’examiner la problématique de la restitution de l’indemnité pour atteinte à l’intégrité versée au recourant le 6 juillet 2018. a) Aux termes de l’art. 25 al. 1, 1 ère phrase, LPGA, les prestations indûment touchées doivent être restituées. b)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(ATF 130 V 318 consid. 5.2 et les références). aa)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et les références; TF 9C_371/2008 du 2 février 2009 consid. 2.3). bb)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I 907/06 du 7 mai 2007 consid. 3.2.1). c) En l’occurrence, le recourant a perçu, en vertu de la décision du 4 juillet 2018, confirmée sur opposition le 18 septembre 2018, et de la décision du 22 janvier 2020, une indemnité pour atteinte à l’intégrité de 14'820 francs. Or, comme cela a été constaté précédemment (cf. considérant 8 ci-dessus), les séquelles de l’accident du 22 mars 2017 ne justifiaient pas l’octroi d’une indemnité pour atteinte à l’intégrité et c’est donc à bon droit que l’intimée a, dans sa décision sur opposition du 2 juillet 2020, reconsidéré sa position et exigé la restitution des prestations indûment perçues. d) Pour le reste, il convient de relever que le recourant a, conformément à la jurisprudence (ATF 131 V 414 consid. 1), été rendu attentif, par courrier de l’intimée du 29 mai 2020, à la possibilité de procéder à un retrait partiel de son opposition à la décision du 22 janvier 2020 (cf. aussi art. 12 al. 2 OPGA), ce qui aurait eu pour effet de mettre fin à la procédure relative au droit à une indemnité pour atteinte à l’intégrité et de maintenir le droit à l’indemnité qui lui avait été précédemment reconnu. Par courrier du 30 juin 2020, le recourant a toutefois souhaité maintenir son opposition, si bien que la décision de restitution lui est désormais opposable.</w:t>
      </w:r>
    </w:p>
    <w:p>
      <w:r>
        <w:rPr>
          <w:b/>
        </w:rPr>
        <w:t>E. 10</w:t>
      </w:r>
    </w:p>
    <w:p>
      <w:r>
        <w:t>En définitive, le recours se révèle mal fondé en tant qu’il est recevable et doit dès lors être rejeté dans cette même mesure. La décision attaquée, qui est conforme au droit fédéral, sera donc confirmée.</w:t>
      </w:r>
    </w:p>
    <w:p>
      <w:r>
        <w:rPr>
          <w:b/>
        </w:rPr>
        <w:t>E. 11</w:t>
      </w:r>
    </w:p>
    <w:p>
      <w:r>
        <w:t>Il n’y a pas lieu de percevoir de frais judiciaires, la procédure étant gratuite (art. 61 let. a LPGA dans sa teneur en vigueur jusqu’au 31 décembre 2020 ; cf. art. 83 LPGA), ni d’allouer de dépens, dès lors que le recourant n’obtient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