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6/15 - 6/2016 vom 18. Januar 2016</w:t>
      </w:r>
    </w:p>
    <w:p>
      <w:r>
        <w:t>VD Tribunal cantonal, 2016-01-18, FR</w:t>
      </w:r>
    </w:p>
    <w:p>
      <w:r>
        <w:rPr>
          <w:b/>
        </w:rPr>
        <w:t xml:space="preserve">Quelle: </w:t>
      </w:r>
      <w:r>
        <w:t>https://mcp.opencaselaw.ch/entscheid/vd_findinfo_AA_6_15_-_6_2016</w:t>
      </w:r>
    </w:p>
    <w:p>
      <w:r>
        <w:t>FR: VD_FINDINFO AA 6/15 - 6/2016 du 18 janvier 2016</w:t>
      </w:r>
    </w:p>
    <w:p>
      <w:r>
        <w:t>IT: VD_FINDINFO AA 6/15 - 6/2016 del 18 gennaio 2016</w:t>
      </w:r>
    </w:p>
    <w:p>
      <w:pPr>
        <w:pStyle w:val="Heading2"/>
      </w:pPr>
      <w:r>
        <w:t>Regeste</w:t>
      </w:r>
    </w:p>
    <w:p>
      <w:r>
        <w:t>CAUSALITÉ ADÉQUATE, CAUSALITÉ NATURELLE, ACCIDENT, ACCIDENT DE GRAVITÉ MOYENNE, ATTEINTE À L'INTÉGRITÉ, INDEMNITÉ POUR ATTEINTE À L'INTÉGRITÉ | 24 al. 1 LAA, 25 al. 1 LAA, 36 al. 1 LAA, 6 al. 1 LAA, 4 LPGA, 3 OLAA</w:t>
      </w:r>
    </w:p>
    <w:p>
      <w:pPr>
        <w:pStyle w:val="Heading2"/>
      </w:pPr>
      <w:r>
        <w:t>Erwägungen</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b)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L'évaluation incombe donc avant tout aux médecins, qui doivent, d'une part, constater objectivement quelles limitations subit l'assuré et, d'autre part, estimer l'atteinte à l'intégrité en résultant (TF 8C_703/2008 du 25 septembre 2009 consid. 5.2 ; TF 8C_459/2008 du 4 février 2009 consid. 2.3 et réf. cit).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218 consid. 4b et réf. cit.). L'annexe 3 de l'OLAA (ordonnance fédérale du 20 décembre 1982 sur l’assurance-accidents ; RS 832.202) comporte un barème des atteintes à l'intégrité en pour cent du montant maximum du gain assuré. Ce barème – reconnu conforme à la loi – ne constitue pas une énumération exhaustive (ATF 124 V 29 consid. 1b et réf. cit.).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(124 V 209 consid. 4a/cc ; TF 8C_195/2013 du 15 octobre 2013 consid. 6.1, 8C_459/2008 du 4 février 2009 consid. 2.1.2,  8C_365/2007 du 15 mai 2008 consid. 7.2) et permettent de procéder à une appréciation plus nuancée, lorsque l'atteinte d'un organe n'est que partielle.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 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d)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117 V 359 consid. 5d/bb ; TF 8C_726/2008 du 14 mai 2009 consid. 2.1 in fine et réf.cit.).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SBVR 2 ème éd.,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8C_1007/2012 du 11 décembre 2013 consid. 3). D’après la casuistique en matière de chute d’une certaine hauteur, ont été considérées comme faisant partie de la limite supérieure de la catégorie des accidents de gravité moyenne, les chutes qui se sont produites d’une hauteur entre cinq et huit mètres et qui ont entraîné des lésions osseuses relativement sévères (TF 8C_463/2014 du 24 juin 2015, consi. 5.2.2 et réf. cit.).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A contrario, aussi longtemps que le status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w:t>
      </w:r>
    </w:p>
    <w:p>
      <w:r>
        <w:rPr>
          <w:b/>
        </w:rPr>
        <w:t>E. 4</w:t>
      </w:r>
    </w:p>
    <w:p>
      <w:r>
        <w:t>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 ATF 125 V 351 consid. 3b/bb et réf. cit. ; TF 8C_862/2008 du 19 août 2009, consid. 4.2 ; TF 8C_565/2008 du 27 janvier 2009, consid. 3.3.2.).</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rPr>
          <w:b/>
        </w:rPr>
        <w:t>E. 6</w:t>
      </w:r>
    </w:p>
    <w:p>
      <w:r>
        <w:t>a) En l’espèce, le recourant conteste en premier lieu la fixation du status quo sine six mois après l’événement, estimant que son état de santé n’est pas stabilisé, du fait de la persistance des douleurs lombaires. Se prévalant notamment des rapports des Drs X.________, Z.________ et D.________, il soutient que dites douleurs sont en lien de causalité avec l’accident du 2 novembre 2012 et non pas consécutives à une problématique dégénérative préexistante. b) S’agissant des reproches formulés à l’encontre de la prise de position du Dr B.________, il sera tout d'abord relevé que la qualité relativement médiocre de l’IRM lombaire n'a pas empêché les médecins de se prononcer sur les résultats d'imagerie. Le Dr X.________ conclut à l'existence de protrusions discales et d’une arthrose interfacettaire débutante. Certes, dans l'en-tête de son rapport, qui comporte bien deux pages et non trois comme soutenu par le conseil du recourant, le médecin radiologue mentionne une « suspicion de hernie discale suite à un accident en novembre 2012 ». Il convient cependant de replacer cette mention dans son contexte, soit celui du motif médical avancé par le médecin généraliste traitant pour solliciter l'examen IRM. On ne saurait dès lors prêter une quelconque valeur de diagnostic à l’indication d’une suspicion d’hernie discale, cela d’autant plus que celle-ci ne figure pas dans les diagnostics retenus par le Dr X.________ dans ses conclusions (cf. rapport de l’IRM du 22 mai 2013). Les observations du Dr B.________ ne divergent par ailleurs pas des conclusions du médecin radiologue, étant précisé que ce dernier n'a pas relevé non plus de lésion post-traumatique, tout comme le Dr D.________ qui précise, de surcroît sans avoir connaissance des conclusions du radiologue, ne pas voir sur l'IRM de lésion traumatique ou de lésion suspecte d’être séquellaire d'un traumatisme. Le recourant ne saurait donc être suivi sur ce point. Pour ce qui est de l’affirmation du recourant selon laquelle le Dr B.________ ne poserait pas de constat définitif et certain, puisqu’il indique que « la relation de causalité naturelle s’est vraisemblablement épuisée au terme d’une période de 6 mois au maximum », il convient de rappeler qu’en matière d’assurance sociales, la question de la causalité est tranchée en se conformant à la règle du degré de vraisemblance prépondérante (cf. consid. 3c supra). Or le Dr B.________ mentionne expressément qu’il n’y a selon lui plus de relation de causalité naturelle persistante probable ou certaine entre les plaintes et l’événement accidentel du 2 novembre 2012, le status quo sine vel ante ayant vraisemblablement été atteint six mois après l’accident, ce qui apparaît comme étant l’hypothèse la plus probable. Cet argument est dès lors mal fondé. On peut également déduire des rapports des Drs T.________ et D.________ que la collaboration de l'assuré aux examens cliniques aura été partielle. L'un et l'autre ont renoncé à la marche sur les talons et les pointes. De plus, le Dr T.________ mentionne que la marche sans canne est refusée et décrit à plusieurs reprises certains mouvements comme laborieux. Le Dr D.________ évoque une attitude démonstrative. Dès lors, on ne saurait faire grief au Dr B.________ d'un manque d'objectivité ou d'exhaustivité dans le cadre de l'exécution de son mandat. Il n'a fait qu'émettre les réserves inhérentes à un examen clinique lorsque que les tests usuels ne peuvent être pratiqués, totalement ou partiellement, peu en importe la raison au demeurant. Quoi qu'il en soit, ce médecin a effectué, en complément à l'examen clinique, une ENMG [électroneuromyographie], laquelle a exclu l'existence d‘atteinte neurogène périphérique. c) Quant à l’analyse du Dr T.________, on ne saurait l’écarter en raison du seul fait que ce dernier est le médecin d’arrondissement de la CNA. En effet, dans ses rapports médicaux, ce médecin présente des résultats convaincants, ses conclusions sont motivées et ses avis ne contiennent pas de contradiction, aucun indice concret ne permettant au demeurant de remettre en cause leur bien-fondé. Il est par ailleurs erroné d’affirmer que le Dr T.________ se contenterait uniquement de se reporter à l’analyse du Dr B.________ en ce qui concerne les problèmes dorsaux, sans autres explications. En effet, afin d’étayer ses conclusions, le médecin de la CNA a également procédé à un examen orthopédique du dos en date du 15 juillet 2013 ainsi que lors de l’examen final du 31 janvier 2014. Ainsi, les rapports du médecin d’arrondissement de la CNA remplissent tous les réquisits de la jurisprudence en la matière (cf. consid. 4 ci-dessus). d) Le médecin traitant de l’assuré, le Dr Z.________, soutient certes qu'il n'existait pas de circonstances particulières susceptibles d’influencer défavorablement le processus de guérison, telle une maladie antérieure. Or les Drs B.________, T.________ et D.________ relèvent tous une atteinte dégénérative sur la base de l'examen IRM lombaire. Le médecin traitant mentionne également la persistance d'un dommage mais sans faire la démonstration d'une relation de causalité entre l'accident et le dommage, lequel pourrait au demeurant tout aussi bien avoir pour origine l’atteinte dégénérative. e) Ainsi, en l'absence de lésions traumatiques de la colonne lombaire consécutives à l'accident du 2 novembre 2012 autres que les contusions diagnostiquées le jour même de l'accident par les médecins du C.________, le status quo sine vel ante tel que retenu par la CNA six mois après l’événement accidentel et la décision de clore le cas au 31 mars 2014 ne sont pas critiquables. Cela d’autant plus au vu de la jurisprudence citée par l'intimée au consid. 5b in fine de sa décision sur oppositions. En effet, selon une jurisprudence constante, l'aggravation traumatique d'un état dégénératif antérieur cliniquement asymptomatique de la colonne vertébrale se résorbe en général dans un délai de six à neuf mois, mais au plus tard après un an (TF 8C_1009/2009 du 4 mai 2010, consid. 3.1.1 et réf. cit.). Le recourant ne peut rien exciper du rapport du Dr D.________ à l'encontre de cette appréciation. Bien au contraire, celui-ci ne pose aucun diagnostic et ne se prononce pas sur le lien de causalité entre l’accident et l’atteinte lombaire. Il exclut en outre toute indication à une intervention neurochirurgicale, ce qui pourrait en l’état parler en faveur d’un état de santé stabilisé. Quant à sa recommandation de poursuite de la prise en charge de l'atteinte lombaire, elle se justifie déjà par la seule atteinte dégénérative. f) Enfin, on ne peut déduire d'aucun rapport médical que l'atteinte au pied droit consécutive à l'accident du 2 novembre 2012 entraînerait à elle seule une incapacité de travail. Ainsi, l'appréciation du Dr T.________, soit celle d'une capacité de travail entière dans l'activité habituelle avec équipement orthopédique adapté, ne peut être que suivie. g) Quand bien même le recourant n'a pas contesté l'absence de lien de causalité adéquate entre l'accident et les atteintes psychiques diagnostiquées par le Dr P.________, on observera, par surabondance de droit, qu'en présence d'un accident de gravité moyenne stricto sensu, comme c’est le cas en l’espèce, aucun des sept critères dégagés par la jurisprudence ne paraît réalisé (cf. supra consid. 3d in fine). Quant au diagnostic de syndrome somatoforme douloureux, on rappellera qu'il émane du Dr Z.________, médecin généraliste et non psychiatre, et qu'il n'est pas objectivé. De surcroît, il n'a pas été confirmé postérieurement par le Dr P.________, spécialiste en psychiatrie et psychothérapie.</w:t>
      </w:r>
    </w:p>
    <w:p>
      <w:r>
        <w:rPr>
          <w:b/>
        </w:rPr>
        <w:t>E. 7</w:t>
      </w:r>
    </w:p>
    <w:p>
      <w:r>
        <w:t>Le recourant conteste également le taux et par conséquent le montant alloué par la CNA à titre d’indemnité pour atteinte à l’intégrité. Or en premier lieu, il convient de constater que faute de lien de causalité naturelle subsistant entre l'accident et l'atteinte lombaire, le recourant n'a pas droit à une IPAI pour dite atteinte. C’est donc à juste titre que la CNA n’a pas pris en compte les douleurs lombaires dans son appréciation. Quant à l'atteinte au pied droit, le recourant ne fournit aucune pièce médicale de nature à remettre en cause l’appréciation du Dr T.________. En conséquence, l’avis du médecin d’arrondissement sera suivi, étant rappelé, d’une part, qu’il appartient au premier chef aux médecins d'évaluer une atteinte à l'intégrité (cf. consid. 3b supra) et, d'autre part, que l’évaluation du Dr T.________ ne contient aucune contradiction intrinsèque ou incohérence susceptible de modifier le taux de l’IPAI.</w:t>
      </w:r>
    </w:p>
    <w:p>
      <w:r>
        <w:rPr>
          <w:b/>
        </w:rPr>
        <w:t>E. 8</w:t>
      </w:r>
    </w:p>
    <w:p>
      <w:r>
        <w:t>Enfin, conformément à la jurisprudence permettant l'appréciation anticipée des preuves (cf. consid. 5b supra), il ne sera pas donné suite aux mesures d'instruction requises par le recourant. Il paraît en effet improbable que le Dr D.________ s’exprime s'agissant des diagnostics et du lien de causalité naturelle alors qu'il a renoncé expressément à le faire. Par ailleurs, il est hautement vraisemblable que le médecin traitant aurait déjà fait état en cours de procédure administrative d'éventuels éléments cliniques objectifs s’inscrivant en faux contre les appréciations des Drs B.________ et T.________. Enfin, la mise en œuvre d'une expertise médicale ne constituerait qu'une appréciation médicale supplémentaire sans pertinence, les pièces au dossier permettant de statuer en toute connaissance de cause.</w:t>
      </w:r>
    </w:p>
    <w:p>
      <w:r>
        <w:rPr>
          <w:b/>
        </w:rPr>
        <w:t>E. 9</w:t>
      </w:r>
    </w:p>
    <w:p>
      <w:r>
        <w:t>Il s’ensuit que le recours, mal fondé, doit être rejeté, et la décision attaquée confirmée.</w:t>
      </w:r>
    </w:p>
    <w:p>
      <w:r>
        <w:rPr>
          <w:b/>
        </w:rPr>
        <w:t>E. 10</w:t>
      </w:r>
    </w:p>
    <w:p>
      <w:r>
        <w:t>a) La procédure étant gratuite (art. 61 let. a LPGA), il n'y a pas lieu de percevoir de frais judiciaires.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Yann Jaillet a fixé à 9.5 heures le temps consacré à ce dossier depuis le 26 janvier 2015, ses dépens se montant à 21 fr. C’est ainsi un montant de 1'710 fr (9.5 heures x tarif horaire de 180 fr.) qui doit être reconnu à titre d'honoraires pour les opérations effectuées, plus la TVA à 8 % d'un montant de 136 fr. 80. Au demeurant, l'avocat d'office a droit au remboursement de tous les débours qui s'inscrivent raisonnablement dans l'exécution de sa tâche (ATF 122 I 1 consid. 3a). En l'occurrence, c'est un montant de 21 fr., TVA à 8 % en sus, qui doit être reconnu à ce titre. L'indemnité d'office doit ainsi être fixée à 1'869 fr. 50.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