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65/18 - 12/2019 vom 31. Januar 2019</w:t>
      </w:r>
    </w:p>
    <w:p>
      <w:r>
        <w:t>VD Tribunal cantonal, 2019-01-31, FR</w:t>
      </w:r>
    </w:p>
    <w:p>
      <w:r>
        <w:rPr>
          <w:b/>
        </w:rPr>
        <w:t xml:space="preserve">Quelle: </w:t>
      </w:r>
      <w:r>
        <w:t>https://mcp.opencaselaw.ch/entscheid/vd_findinfo_AA_65_18_-_12_2019</w:t>
      </w:r>
    </w:p>
    <w:p>
      <w:r>
        <w:t>FR: VD_FINDINFO AA 65/18 - 12/2019 du 31 janvier 2019</w:t>
      </w:r>
    </w:p>
    <w:p>
      <w:r>
        <w:t>IT: VD_FINDINFO AA 65/18 - 12/2019 del 31 gennaio 2019</w:t>
      </w:r>
    </w:p>
    <w:p>
      <w:pPr>
        <w:pStyle w:val="Heading2"/>
      </w:pPr>
      <w:r>
        <w:t>Regeste</w:t>
      </w:r>
    </w:p>
    <w:p>
      <w:r>
        <w:t>DROIT D'ÊTRE ENTENDU, COMPARAISON DES REVENUS, RENTE D'INVALIDITÉ, BASE DE CALCUL, FORCE PROBANTE, ÉVALUATION DE L'INCAPACITÉ DE TRAVAIL, ACCIDENT PROFESSIONNEL, ÉTAT STABLE | 29 al. 2 Cst., 18 al. 1 LAA, 19 al. 1 LAA, 6 al. 1 LAA, 16 LPGA, 61 let. c LPGA, 7 al. 1 LPGA, 7 al. 2 LPGA, 8 al. 1 LPGA</w:t>
      </w:r>
    </w:p>
    <w:p>
      <w:pPr>
        <w:pStyle w:val="Heading2"/>
      </w:pPr>
      <w:r>
        <w:t>Erwägungen</w:t>
      </w:r>
    </w:p>
    <w:p>
      <w:r>
        <w:rPr>
          <w:b/>
        </w:rPr>
        <w:t>E. 4</w:t>
      </w:r>
    </w:p>
    <w:p>
      <w:r>
        <w:t>a) Aux termes de l'art. 6 al. 1 LAA, et sous réserve de dispositions spéciales de la loi, les prestations d'assurance sont allouées en cas d'accident professionnel, d'accident non professionnel et de maladie professionnelle. En vertu de l'art. 18 al. 1 LAA, si l'assuré est invalide à 10 % au moins par suite d'un accident, il a droit à une rente d'invalidité.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9C_219/2013 du 13 septembre 2013 consid. 3.1).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 125 V 351 consid. 3a et la référence citée ; TF 9C_851/2012 du 5 mars 2013 consid. 2.2). En ce qui concerne les rapports établis par le médecin traitant de l'assuré, le juge prendra toutefois en considération le fait que celui-ci peut être enclin, en cas de doute, à prendre parti pour son patient en raison de la relation de confiance qu'ils ont nouée (ATF 125 V 351 consid. 3b/cc et les références citées ; TF 8C_862/2008 du 19 août 2009 consid. 4.2). Un rapport médical ne saurait toutefois être écarté pour la simple et unique raison qu’il émane du médecin traitant ou qu’il a été établi par un médecin se trouvant dans un rapport de subordination vis-à-vis d’un assureur (TF 9C_773/2007 du 23 juin 2008 consid. 5.2).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p. 353 et les références citées ; TF 8C _862/2008 du 19 août 2009 consid. 4.2). c) En vertu du principe de la libre appréciation des preuves, consacré notamment à l'art. 61 let. c LPGA, le juge est tenu de procéder à une appréciation complète, rigoureuse et objective des rapports médicaux en relation avec leur contenu ;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 TF 9C_573/2010 du 8 août 2011 consid. 4.1).</w:t>
      </w:r>
    </w:p>
    <w:p>
      <w:r>
        <w:rPr>
          <w:b/>
        </w:rPr>
        <w:t>E. 4.1</w:t>
      </w:r>
    </w:p>
    <w:p>
      <w:r>
        <w:t>et 129 V 222 consid. 4.3.1 ; TF 9C_651/2008 du 9 octobre 2009 consid. 6.1.2.1). En l’espèce, le recourant ne remet pas en cause le revenu hypothétique sans invalidité. On notera à cet égard que selon les données fournies par l’ex-employeur (cf. courrier du 12 avril 2017), l’assuré exerçait une activité lucrative en qualité de « [...] » auprès d’A.__________ SA à raison de 41,5 heures par semaine. Se fondant sur les données ainsi recueillies, l’intimée a retenu une activité à plein temps moyennant un salaire déterminant (2017) de 80’160 fr. (ou 6'680 fr. x 12). Ce revenu, au demeurant non contesté par l’assuré, peut être confirmé. d) En l’absence d’un revenu effectivement réalisé – soit lorsque la personne assurée, après la survenance de l’atteinte à la santé, n’a pas repris d’activité lucrative ou alors une activité ne correspondant pas à l’exigibilité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et 129 V 472 consid. 4.2.1 ; TF 8C_287/2010 du 18 novembre 2010 consid. 3).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extraites de l’ESS pour apprécier le salaire d’invalide, même si le Tribunal fédéral a renoncé à donner la préférence à l’une ou l’autre de ces méthodes d’évaluation (ATF 129 V 472 consid. 4.2 ; cf. Frésard/Moser-Szeless, op. cit ., n° 240 p. 980). En l’occurrence, outre la quotité de sa capacité de travail résiduelle, le recourant conteste l’un des autres éléments (choix des DPT) permettant de calculer le revenu d’invalide (second terme de la comparaison de l’art. 16 LPGA). Il nie que son état de santé lui permit d’assumer un seul des postes de travail, tels que figurant dans les cinq DPT retenues par la CNA. Ce faisant, il critique les cinq DPT prises en considération par l’intimée, dont le revenu mensuel moyen est de 61’545 fr. (part au 13 ème salaire y compris), soit 5’129 francs. Il estime ainsi que les postes DPT 5828, 11576 et 796620 (collaborateur de production), 4564295 (employé de montage) et 8452 (fabricant d’instruments de mesure) nécessiteraient une « certaine dextérité dans le travail manuel de précision » alors que son second passage aux ateliers professionnels de la CRR a précisément mis en évidence des difficultés lors de travaux exigeant une certaine minutie où il a été relevé que « les activités sont généralement finalisées dans des temps supérieurs aux normes admises, avec une qualité des produits rendus en-dessous des normes habituelles » et que « au vu des observations et des facteurs limitants [port de charges très légères et contraintes limitées, position debout statique durant quelques minutes et celle assise durant près de nonante minutes ainsi que des déplacements à l’aide de deux cannes anglaises], les capacités d’intégration sont relativement faibles ». Il se plaint en outre de l’éloignement des postes retenus qui ne correspondraient plus à ses limitations de déplacement. A ses yeux, ses difficultés « théoriques » se concrétisent dans la réalité, l’entreprise A.__________ SA ayant ainsi été contrainte de le licencier faute d’avoir pu lui trouver un poste adapté au sein de la société. En l’occurrence, aucun élément ne vient toutefois confirmer ces griefs. Le recourant se focalise sur les limitations fonctionnelles retenues à savoir éviter le port de charges de plus de quinze kilos, dès lors qu’il n’a porté que des charges jusqu’à cinq kilos en atelier. A cet égard, on peut relever d’emblée que les descriptions de postes de travail retenues concernent uniquement des postes avec des charges n’excédant pas cinq kilos (pièce 264 pp. 6, 10, 14, 18 et 22). Lors du second passage aux ateliers professionnels de la CRR, les auteurs du rapport du 7 novembre 2016 ont relevé notamment que l’assuré « se dit actuellement engagé dans sa récupération et ne pense pas que ce soit le bon moment pour réfléchir à la recherche d’un nouvel emploi adapté ». Lors de cette évaluation en atelier, l’intéressé n’était pas prêt à s’impliquer complètement dans le processus de réadaptation avec pour conséquence que la vitesse d’exécution n’était pas motivée sur le plan médical, respectivement par l’atteinte à la cheville droite. Le rendement global assez faible ne semblait pas être justifié par l’atteinte au membre inférieur droit, ni par des difficultés de motricité fine, le rapport en question précisant à cet égard que l’assuré ne rencontrait aucune difficulté (cf. pièce 233 p. 14). Selon la jurisprudence,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(TF 9C_790/2015 du 22 juin 2016 consid. 6.2, 8C_214/2014 du 8 avril 2015 consid. 5.2, 9C_83/2013 et 9C_104/2013 du 9 juillet 2013 consid. 4.2, 9C_426/2011 du 14 décembre 2011 consid.</w:t>
      </w:r>
    </w:p>
    <w:p>
      <w:r>
        <w:rPr>
          <w:b/>
        </w:rPr>
        <w:t>E. 4.3</w:t>
      </w:r>
    </w:p>
    <w:p>
      <w:r>
        <w:t>et 9C_854/2010 du 30 décembre 2010 consid. 3.2 et les références citées). En l’espèce et quoiqu’en dise le recourant, les informations recueillies au cours du stage d’observation à la CRR à l’automne 2016 ne sauraient par conséquent supplanter les appréciations médicales au dossier et en particulier le rapport d’examen final du Dr H.________ postérieur, lequel document conserve donc pleine et entière valeur probante (cf. consid. 5c supra). Le grief relatif à l’éloignement des postes retenus n’est pas relevant dans la mesure où le Dr H.________ indique dans son rapport final du 17 m ai 2017 que la conduite automobile reste accessible au recourant « sur des petits trajets » et que même si tel ne devait pas être le cas sur des distances plus longues, l’usage des transports publics reste alors accessible sans aucune restriction. Le revenu d’invalide a été évalué sur la base des descriptions de postes de travail récoltées au dossier qui sont conformes aux limitations fonctionnelles retenues et ne sont dès lors pas critiquables, cette documentation servant à estimer le revenu d’invalide sur la base de possibilités d’emplois concrets et exigibles. Conformément à la jurisprudence (ATF 129 V 472 consid. 4.2.2 ; TF U 81/2005 du 14 juin 2006 consid. 3.2), l’autorité intimée a produit cinq DPT, elle a communiqué le nombre total de postes de travail pouvant entrer en considération d’après le type de handicap ainsi que le salaire le plus haut et le plus bas et aussi le salaire moyen du groupe auquel il est fait référence. Pour le surplus, aucun abattement ne peut être effectué sur le revenu avec invalidité établi sur la base des descriptions de postes de travail (ATF 129 V 472 consid. 4.2.3). De même, les facteurs étrangers à l’accident ne pouvant être pris en compte dans l’estimation de l’invalidité (ATF 107 V 21 consid. 2c), le manque de formation, l’âge ou le manque de maîtrise de la langue française ne sont pas des facteurs médicaux susceptibles d’entraver l’exercice d’un emploi adapté à l’état de santé du recourant. Enfin et pour autant que de besoin, on rappellera ici que l’évaluation de l’invalidité par les organes de l’assurance-accidents ne requiert pas d'examiner la question de savoir si un invalide peut être placé eu égard aux conditions concrètes du marché du travail – ce qui revient à l'assurance-chômage – la notion de marché du travail équilibré (cf. art. 16 LPGA) se limitant à déterminer si l’assuré pourrait encore exploiter économiquement sa capacité résiduelle de travail lorsque les places de travail disponibles correspondent à l'offre de la main d'œuvre (cf. consid. 6a supra). e) En ce qui concerne le calcul de la rente d’invalidité, le recourant n’invoque au final aucun argument concret susceptible de valablement rediscuter le bien-fondé de l’instruction menée par la CNA. Après comparaison des revenus sans (80’160 fr.) et avec invalidité (61’545 fr.), il en résulte ainsi un degré d’invalidité de 23 % ouvrant le droit à la rente de l’assurance-accidents dès le 1 er décembre 2017 (cf. art. 18 al. 1 LAA).</w:t>
      </w:r>
    </w:p>
    <w:p>
      <w:r>
        <w:rPr>
          <w:b/>
        </w:rPr>
        <w:t>E. 5</w:t>
      </w:r>
    </w:p>
    <w:p>
      <w:r>
        <w:t>En l'espèce, le litige porte d’abord sur la stabilisation de l'état de santé du recourant, lequel conteste, au stade de la réplique, le fait que l’intimée était en droit de passer au régime de la rente à compter du 1 er décembre 2017. 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De jurisprudence constante, cela signifie que l’assuré a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(TF 8C_403/2011 du 11 octobre 2011 consid. 3.1.1 ; ATF 134 V 109 consid.</w:t>
      </w:r>
    </w:p>
    <w:p>
      <w:r>
        <w:rPr>
          <w:b/>
        </w:rPr>
        <w:t>E. 6</w:t>
      </w:r>
    </w:p>
    <w:p>
      <w:r>
        <w:t>La stabilisation du cas ouvre le droit du recourant à l’octroi d’une rente d’invalidité, pour autant que son degré d’invalidité dépasse 10 %. Il s’agit dès lors de procéder au calcul du préjudice économique et du degré d’invalidité présenté par celui-ci. a) Chez les assurés actifs – soit les assurés qui, sans atteinte à la santé, exerceraient une activité lucrative à plein temps –, le degré d'invalidité doit être déterminé sur la base d'une comparaison des revenus.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8C_125/2010 du 2 novembre 2010 consid. 2 ; Jean-Maurice Frésard/Margit Moser-Szeless, L'assurance-accidents obligatoire, in : Schweizerisches Bundesverwaltungsrecht, Soziale Sicherheit, 3 ème éd., Bâle 2016, n°  229 p. 977).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b)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TF 9C_195/2010 du 16 août 2010 consid. 6.2 ; cf. Frésard/Moser-Szeless, op. cit ., n° 229 p. 977). Pour procéder à la comparaison des revenus, il convient de se placer au moment de la naissance du droit éventuel à la rente (ATF 129 V 222 ; TF 9C_254/2010 du 29 octobre 2010 consid. 4.2). c)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(ATF 134 V 322 consid.</w:t>
      </w:r>
    </w:p>
    <w:p>
      <w:r>
        <w:rPr>
          <w:b/>
        </w:rPr>
        <w:t>E. 7</w:t>
      </w:r>
    </w:p>
    <w:p>
      <w:r>
        <w:t>Sur le vu de ce qui précède, le dossier est complet, permettant ainsi à la Cour de statuer en pleine connaissance de cause sur ses aspects médicaux. Un complément d’instruction apparaît inutile et la requête d’expertise médicale judiciaire formulée en ce sens par le recourant le 13 juillet 2018 doit dès lors être rejetée (appréciation anticipée des preuves ; ATF 131 I 153 consid. 3 ; 125 I 127 consid. 6c/cc).</w:t>
      </w:r>
    </w:p>
    <w:p>
      <w:r>
        <w:rPr>
          <w:b/>
        </w:rPr>
        <w:t>E. 8</w:t>
      </w:r>
    </w:p>
    <w:p>
      <w:r>
        <w:t>a) En définitive, le recours, mal fondé, doit être rejeté, ce qui entraîne la confirmation de la décision attaquée. b) Il n’y a pas lieu de percevoir de frais judiciaires, la procédure étant gratuite (art. 61 let. a LPGA), ni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