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62/08 - 40/2010 vom 19. April 2010</w:t>
      </w:r>
    </w:p>
    <w:p>
      <w:r>
        <w:t>VD Tribunal cantonal, 2010-04-19, FR</w:t>
      </w:r>
    </w:p>
    <w:p>
      <w:r>
        <w:rPr>
          <w:b/>
        </w:rPr>
        <w:t xml:space="preserve">Quelle: </w:t>
      </w:r>
      <w:r>
        <w:t>https://mcp.opencaselaw.ch/entscheid/vd_findinfo_AA_62_08_-_40_2010</w:t>
      </w:r>
    </w:p>
    <w:p>
      <w:r>
        <w:t>FR: VD_FINDINFO AA 62/08 - 40/2010 du 19 avril 2010</w:t>
      </w:r>
    </w:p>
    <w:p>
      <w:r>
        <w:t>IT: VD_FINDINFO AA 62/08 - 40/2010 del 19 aprile 2010</w:t>
      </w:r>
    </w:p>
    <w:p>
      <w:pPr>
        <w:pStyle w:val="Heading2"/>
      </w:pPr>
      <w:r>
        <w:t>Regeste</w:t>
      </w:r>
    </w:p>
    <w:p>
      <w:r>
        <w:t>RÉVISION{DÉCISION}, ASSURANCE D'UNE INDEMNITÉ JOURNALIÈRE, GAIN ASSURÉ, SURASSURANCE, COORDINATION{ASSURANCE}, ACCIDENT PROFESSIONNEL, PROCÉDURE SOMMAIRE | 15 al. 2 LAA, 17 al. 1 LAA, 40 LAA, 51 LPGA, 53 LPGA, 69 LPGA, 23 OLAA, 51 al. 3 OLAA</w:t>
      </w:r>
    </w:p>
    <w:p>
      <w:pPr>
        <w:pStyle w:val="Heading2"/>
      </w:pPr>
      <w:r>
        <w:t>Erwägungen</w:t>
      </w:r>
    </w:p>
    <w:p>
      <w:r>
        <w:rPr>
          <w:b/>
        </w:rPr>
        <w:t>E. 16</w:t>
      </w:r>
    </w:p>
    <w:p>
      <w:r>
        <w:t>février 2006 consid. 2; RAMA 2006 no U 585 p. 251). Dans le même sens, les règles relatives à la période à prendre en considération pour établir le calcul de surindemnisation sont les mêmes que celles déjà exposées à propos de l'ancien art. 40 LAA (TF U 53/07 du 18 mars 2008 consid. 3.2; Kieser, op. cit., n. 9 ad art. 69, p. 704 sv.).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130 V 445 consid. 1.2.1 p. 446 sv., 127 V 466 consid. 1 p. 467, 126 V 163 consid. 4 p. 166). En présence d'un état de choses durable, non encore révolu lors du changement de législation, le nouveau droit est en règle ordinaire applicable, sauf disposition transitoire contraire ou lésion de droits acquis (ATF 121 V 100 consid. 1; TF H 96/03 du 30 novembre 2004, consid. 5.2.1). Ce dernier principe vaut notamment en cas de changement des règles relatives au calcul de la surindemnisation, lorsque les faits pertinents se sont déroulés, comme en l'espèce, pour une part sous l'ancienne législation, pour une autre part sous la nouvelle législation (ATF 122 V 316 consid. 3c; TF U 53/07 du 18 mars 2008 consid. 3.3 ). d) En précisant que seules sont prises en considération dans le calcul de surindemnisation les prestations de nature et de but identiques qui sont accordées à l'assuré en raison de l'événement dommageable, l'art. 69 al. 1 LPGA renvoie notamment aux principes de concordance personnelle et matérielle. Il y a concordance matérielle entre les prestations si, d'un point de vue économique, elles ont la même fonction et si elles sont de même nature (ATF 131 II 360 consid. 7.2; 126 III 41 consid. 2; TF U 53/07 du 18 mars 2008 consid. 5.1 et les autres références citées). Cela n'exclut pas de prendre en considération, dans le calcul de surindemnisation selon l'art. 69 al. 1 LPGA, les indemnités journalières de l'assurance-accidents et les rentes versées rétroactivement par l'assurance-invalidité ( Kieser, op. cit., n. 10 ad art. 68, p. 695 et n. 8 ad art. 69 p. 704; TF U 53/07 du 18 mars 2008 consid. 5.1 et les autres références citées ). Par ailleurs, le principe de concordance personnelle implique que les prestations des différents assureurs sociaux n'entrent en considération dans le calcul de surindemnisation que si elles reviennent au même ayant droit (Kieser, op. cit., n. 7 ad art. 69, p. 704; TF U 53/07 du 18 mars 2008 consid. 5.1). De par sa nature, la rente d'invalidité revêt un caractère indemnitaire et tend à compenser les conséquences financières de l'invalidité sur la capacité de gain de l'assuré (ATF 131 III 360 consid. 7.3 p. 368; TF U 53/07 du</w:t>
      </w:r>
    </w:p>
    <w:p>
      <w:r>
        <w:rPr>
          <w:b/>
        </w:rPr>
        <w:t>E. 18</w:t>
      </w:r>
    </w:p>
    <w:p>
      <w:r>
        <w:t>novembre 2003 et d'une incapacité de travail de 100 % dès le 3 avril 2003. La reprise par l'assuré de son activité professionnelle pendant les périodes susmentionnées est corroborée par plusieurs pièces figurant au dossier. En effet, le Dr V.________ a attesté d'une reprise du travail à 25 % depuis le 8 avril 2002, indiquant qu'un taux plus élevé n'était pas possible en raison des douleurs résiduelles (rapport médical intermédiaire du 5 juin 2002), le Dr R.________ a fait mention d'une reprise à 25 % par l'assuré de ses activités professionnelles (rapport du 3 juillet 2002) et un agent de la CNA a indiqué que l'assuré avait repris le travail le 30 septembre 2002 (rapport du 16 octobre 2002). On retiendra donc un gain effectivement réalisé, non contesté, de 31'437 fr. 90. d) Dès lors, compte tenu du droit aux prestations des assurances sociales, soit 515'408 fr. 30 (composé des indemnités journalières de l'assurance-accidents par 313'983 fr.30 et de la rente d'invalidité par 201'425 fr.) en déduction de la perte de gain nette, s'élevant à 407'069 fr. 85 (gain présumable perdu de 438'507 fr. 75 moins gain effectivement réalisé de 31'437 fr. 90), on aboutit à un montant de surindemnisation de 108'338 fr. 45, solde en faveur de l'intimée. Le calcul effectué par l'intimée, détaillé dans sa décision du 7 novembre 2007, et résumé dans sa décision sur opposition du 28 avril 2008, est donc correct. e) Cela étant, le recourant soutient que c'est à tort qu'il aurait été prétendument surindemnisé par l'addition des indemnités pertes de gain de la CNA et de la rente d'invalidité de l'AI. Il allègue n'avoir reçu qu'une rente de l'AI compensant une atteinte à sa capacité de gain, et non des indemnités journalières de l'AI, de sorte que les conditions d'une surindemnisation ne sont pas réalisées. A ce sujet, ainsi qu'on l'a vu plus haut, il faut lui rétorquer que les règles applicables en matière de surindemnisation concernent en particulier les cas dans lesquels un assuré a droit à la fois à des indemnités journalières LAA et à une rente de l'assurance-invalidité, même lorsque celle-ci est allouée avec effet rétroactif (ATF 132 V 27 consid. 3 p. 28 sv., 126 V 193 consid. 1, 122 V 316 consid. 2b p. 317; TF U 53/07 du 18 mars 2008 consid. 3.1, 3.2 et les références citées). Par ailleurs, dans ses décisions, l'intimée s'est fondée sur les dispositions légales applicables, de sorte qu'elle a correctement renseigné l'assuré sur le calcul des indemnités journalières (pour un cas similaire: TF U 404/04 du 21 février 2005 consid. 5.3), quand bien même quelques explications supplémentaires concernant le détail du calcul de la surindemnisation n'auraient pas été superflues. 8. Il s'ensuit que le recours doit être rejeté, ce qui conduit à la confirmation de la décision sur opposition du 28 avril 2008 et, partant, des décisions rendues respectivement les 7 novembre 2007 et 28 février 2008. 9. La procédure étant gratuite (art. 61 let. a LPGA), il ne sera pas perçu de frais judiciaires. Vu l'issue du litige, le recourant, qui succombe, ne peut prétendre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