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51/21 - 18/2022 vom 3. Februar 2022</w:t>
      </w:r>
    </w:p>
    <w:p>
      <w:r>
        <w:t>VD Tribunal cantonal, 2022-02-03, FR</w:t>
      </w:r>
    </w:p>
    <w:p>
      <w:r>
        <w:rPr>
          <w:b/>
        </w:rPr>
        <w:t xml:space="preserve">Quelle: </w:t>
      </w:r>
      <w:r>
        <w:t>https://mcp.opencaselaw.ch/entscheid/vd_findinfo_AA_51_21_-_18_2022___________</w:t>
      </w:r>
    </w:p>
    <w:p>
      <w:r>
        <w:t>FR: VD_FINDINFO AA 51/21 - 18/2022 du 3 février 2022</w:t>
      </w:r>
    </w:p>
    <w:p>
      <w:r>
        <w:t>IT: VD_FINDINFO AA 51/21 - 18/2022 del 3 febbraio 2022</w:t>
      </w:r>
    </w:p>
    <w:p>
      <w:pPr>
        <w:pStyle w:val="Heading2"/>
      </w:pPr>
      <w:r>
        <w:t>Regeste</w:t>
      </w:r>
    </w:p>
    <w:p>
      <w:r>
        <w:t>INDEMNITÉ POUR ATTEINTE À L'INTÉGRITÉ, DÉCISION DE RENVOI, ACCIDENT | 24 al. 1 LAA, 25 LAA, 36 al. 1 OLAA</w:t>
      </w:r>
    </w:p>
    <w:p>
      <w:pPr>
        <w:pStyle w:val="Heading2"/>
      </w:pPr>
      <w:r>
        <w:t>Erwägungen</w:t>
      </w:r>
    </w:p>
    <w:p>
      <w:r>
        <w:rPr>
          <w:b/>
        </w:rPr>
        <w:t>E. 5</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 une expertise judiciaire s’impose lorsque les données recueillies par l’administration en cours d’instruction ne revêtent pas une valeur probante suffisante sur des points décisifs (ATF 137 V 210 consid. 4.4.1.4 et 4.4.1.5). b) En l’espèce, vu les doutes qui subsistent entre l’appréciation du Dr F.________ et celle des médecins d’arrondissement de la CNA, l’instruction doit être complétée par une expertise de l’assuré. Il convient par conséquent de renvoyer la cause à l'intimée, afin qu'elle mette en œuvre une expertise médicale au sens de l’art. 44 LPGA, dès lors que c’est à elle qu’il incombe en premier lieu d’instruire, conformément au principe inquisitoire qui régit la procédure dans le domaine des assurances sociales (art. 43 al. 1 LPGA). Cette expertise aura pour but d’établir le degré de l’IPAI, qui se situe entre 60 % et 70 %, en tenant compte en particulier de l’incidence des douleurs neuropathiques sur l’étendue de cette indemnité.</w:t>
      </w:r>
    </w:p>
    <w:p>
      <w:r>
        <w:rPr>
          <w:b/>
        </w:rPr>
        <w:t>E. 6</w:t>
      </w:r>
    </w:p>
    <w:p>
      <w:r>
        <w:t>a) Il résulte de ce qui précède que le recours doit être admis et la décision attaquée annulée, la cause étant retournée à la CNA pour complément d’instruction dans le sens des considérants puis nouvelle décision, s'agissant du degré de l’IPAI, étant précisé que le taux de 60 %, admis par l’intimée, ne saurait quoi qu’il en soit être remis en cause. b) Il n’y a pas lieu de percevoir de frais judiciaires (art. 61 let. f bis LPGA). Vu le sort de ses conclusions, le recourant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l’intimée. Par ces motifs, la juge unique prononce : I. Le recours est admis. II. La décision sur opposition rendue le 25 mars 2021 par la Caisse nationale suisse d'assurance en cas d'accidents est annulée, la cause lui étant renvoyée pour complément d’instruction dans le sens des considérants puis nouvelle décision. III. Il n’est pas perçu de frais judiciaires. IV. La Caisse nationale suisse d'assurance en cas d'accidents versera à J.________ une indemnité de 2'000 fr. (deux mille francs) à titre de dépens. La juge unique :               La greffière : Du L'arrêt qui précède est notifié à : ‑ Me Sandra Rodriguez (pour J.________),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