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41/13 - 115/2014 vom 18. November 2014</w:t>
      </w:r>
    </w:p>
    <w:p>
      <w:r>
        <w:t>VD Tribunal cantonal, 2014-11-18, FR</w:t>
      </w:r>
    </w:p>
    <w:p>
      <w:r>
        <w:rPr>
          <w:b/>
        </w:rPr>
        <w:t xml:space="preserve">Quelle: </w:t>
      </w:r>
      <w:r>
        <w:t>https://mcp.opencaselaw.ch/entscheid/vd_findinfo_AA_41_13_-_115_2014</w:t>
      </w:r>
    </w:p>
    <w:p>
      <w:r>
        <w:t>FR: VD_FINDINFO AA 41/13 - 115/2014 du 18 novembre 2014</w:t>
      </w:r>
    </w:p>
    <w:p>
      <w:r>
        <w:t>IT: VD_FINDINFO AA 41/13 - 115/2014 del 18 novembre 2014</w:t>
      </w:r>
    </w:p>
    <w:p>
      <w:pPr>
        <w:pStyle w:val="Heading2"/>
      </w:pPr>
      <w:r>
        <w:t>Regeste</w:t>
      </w:r>
    </w:p>
    <w:p>
      <w:r>
        <w:t>AA, DEGRÉ DE L'INVALIDITÉ, ATTEINTE À L'INTÉGRITÉ, REVENU D'INVALIDE, ASSISTANCE JUDICIAIRE | 18 al. 1 LAA, 19 al. 1 LAA, 24 al. 1 LAA, 25 al. 1 LAA, 6 al. 1 LAA, 16 LPGA, 4 LPGA, 7 LPGA, 8 LPGA, 28 al. 4 OLAA, 36 al. 1 OLAA</w:t>
      </w:r>
    </w:p>
    <w:p>
      <w:pPr>
        <w:pStyle w:val="Heading2"/>
      </w:pPr>
      <w:r>
        <w:t>Erwägungen</w:t>
      </w:r>
    </w:p>
    <w:p>
      <w:r>
        <w:rPr>
          <w:b/>
        </w:rPr>
        <w:t>E. 1</w:t>
      </w:r>
    </w:p>
    <w:p>
      <w:r>
        <w:t>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qui est celui du domicile de l’assuré (cf. art. 56 et 58 LPGA).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al. 1 let. a LPA-VD). En l’espèce, le recours, interjeté en temps utile auprès du tribunal compétent, respecte les autres conditions de forme prévues par la loi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De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121 V 362 consid. 1b ; TF 9C_193/2012 du 26 juillet 2012). c) En l'espèce, est litigieux le taux de la rente d'invalidité ainsi que celui de l'IPAI fixés aux termes de la décision sur opposition rendue 11 mars 2013 par l'intimée.</w:t>
      </w:r>
    </w:p>
    <w:p>
      <w:r>
        <w:rPr>
          <w:b/>
        </w:rPr>
        <w:t>E. 3</w:t>
      </w:r>
    </w:p>
    <w:p>
      <w:r>
        <w:t>Selon l’art. 6 al. 1 LAA, si la loi n'en dispose pas autrement, les prestations d’assurance sont allouées en cas d’accident professionnel, d’accident non professionnel ou de maladie professionnelle. Conformément à l'art. 4 LPGA, est réputé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et pour impotence (art. 26 LAA).</w:t>
      </w:r>
    </w:p>
    <w:p>
      <w:r>
        <w:rPr>
          <w:b/>
        </w:rPr>
        <w:t>E. 4</w:t>
      </w:r>
    </w:p>
    <w:p>
      <w:r>
        <w:t>Il convient en premier lieu d'analyser le taux de la rente fixé par Z.________. a) En vertu de l'art. 18 al. 1 LAA, si l'assuré est invalide à 10% au moins par suite d'un accident, il a droit à une rente d'invalidité.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(cf. ATF 134 V 231 consid. 5.1, 125 V 351 consid. 3 et les références ; TF 9C_1023/2008 du 30 juin 2009 consid. 2.1.1). Sans remettre en cause le principe de la libre appréciation des preuves, la jurisprudence a posé quelques principes relatifs à la manière d’apprécier certains types d’expertises ou de rapports médicaux. Le Tribunal fédéral a notamment précisé que la valeur probante d’un rapport d’examen établi par un Service médical régional de l’assurance-invalidité ou par un médecin d’arrondissement de la CNA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w:t>
      </w:r>
    </w:p>
    <w:p>
      <w:r>
        <w:rPr>
          <w:b/>
        </w:rPr>
        <w:t>E. 5</w:t>
      </w:r>
    </w:p>
    <w:p>
      <w:r>
        <w:t>La recourante se plaint tout d'abord en vain de la violation du principe de l'uniformité de la notion d'invalidité en matière d'assurance sociale en faisant valoir qu'elle ne souffre que de séquelles consécutives à l'accident et que l'intimée ne devait pas s'écarter du taux d'invalidité retenu par l'assurance-invalidité. En effet, la jurisprudence relative au principe d'uniformité de la notion d'invalidité dans l'assurance sociale a été précisée en ce sens que l'évaluation de l'invalidité par les organes de l'assurance-invalidité n'a pas de force contraignante pour l'assurance-accidents (ATF 131 V 362 consid. 2 ; TF 8C_149/2013 du 23 septembre 2013 consid. 3.2).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(TF 9C _813/2012 du 18 mars 2013 consid. 3.4 et la référence). Les évaluations selon l’assurance-accidents et l’assurance-invalidité, fondées sur des critères différents, sont indépendantes, ce que l’OAI a d’ailleurs spécifiquement précisé dans sa décision du 19 juillet 2010. L’assurance-accidents prend en effet notamment en compte le rapport de causalité adéquate entre l’accident et l’invalidité, alors que ce critère n’est pas déterminant pour l’assurance-invalidité (cf. TAF C_3642/2011 du 31 janvier 2012 consid. 9 ; TF 8C_558/2008 du 17 mars 2009 consid. 2.3 et les références). En outre, dans le cas d’espèce, les évaluations des deux assureurs portent sur des périodes distinctes. L’OAI a accordé ses prestations sur la base de la situation médicale prévalant au premier semestre 2010, alors que l’assurée atteignait au demeurant l’âge de la retraite ; il a ainsi alloué une rente entière d’invalidité d’août 2006 à février 2010. Pour sa part,  Z.________ a pris en considération l’état de santé présenté par la recourante en juin 2012, allouant ses prestations d’invalidité sous forme de rente dès le 1 er novembre 2012. Or, durant cet intervalle de quelque deux ans, la situation médicale s’est modifiée, dans le sens d’une amélioration, notamment grâce à un traitement d’ergothérapie dispensé à l’Hôpital de B.C.________ de juin 2011 à juin 2012. L’intimée était ainsi en droit de procéder à l’évaluation de l’invalidité de la recourante indépendamment de la décision de l’OAI. Le grief tiré de la violation du principe de l’uniformité de la notion d’invalidité est dès lors mal fondé.</w:t>
      </w:r>
    </w:p>
    <w:p>
      <w:r>
        <w:rPr>
          <w:b/>
        </w:rPr>
        <w:t>E. 6</w:t>
      </w:r>
    </w:p>
    <w:p>
      <w:r>
        <w:t>S’agissant ensuite de l’évaluation de l’atteinte à la santé de la recourante, l’intimée a fait procéder à plusieurs expertises, dont la dernière en date a été confiée au Dr  H.________. Pour sa part, la recourante soutient que contrairement à ce qu’a retenu l’expert, son atteinte à la main droite est telle qu’elle l’empêche d’exercer toute activité, y compris une activité légère sans force, ni dextérité, ni port de charges. Elle se prévaut à cet égard du rapport du 14 janvier 2014 du Dr T.________.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I 312/2006 du 29 juin 2007, consid. 2.3 et les références citées). b) Les différents médecins intervenus dans la présente cause s’entendent sur le fait que l’assurée souffre d’une paralysie iatrogène douloureuse du nerf ulnaire à la main droite et que dite atteinte affecte sa capacité de travail, en ce sens qu’elle n’est plus en mesure d’exercer son activité habituelle d’aide-soignante. Il est également établi, sans être contesté, que l’état de la recourante est stabilisé dès le 5 juin 2012. C’est par contre sur la question de la capacité résiduelle de travail dans une activité adaptée que les positions des parties divergent. aa) Le Dr H.________ est intervenu une première fois en qualité d’expert dans le présent dossier en février 2010. Il s’était alors prononcé en faveur de la persistance d’un lien de causalité entre la neuropathie iatrogène du nerf ulnaire droit affectant l’assurée et l’accident du 18 août 2005, ce lien de causalité ayant été réfuté par le Dr A.D.________ dans une précédente expertise. L’examen clinique du Dr  H.________ avait confirmé l’existence d’une atteinte ulnaire majeure associant douleurs de type allodynique, troubles sensitifs, parésie et raideur digitale, représentant un handicap important dans la vie quotidienne et empêchant alors toute reprise du travail. Sur la base de ce rapport d’expertise du 18 février 2010, Z.________ avait alors repris le versement des indemnités journalières, auquel elle avait mis fin au 31 mars 2009. bb) Interpellé une seconde fois par l’intimée au début 2011, le Dr  H.________ avait fait procéder à des bilans neurologique et ergothérapeutique, desquels il était ressorti une évolution électrophysiologique légèrement favorable, mais une aggravation de l’allodynie. Dans son rapport d’expertise du 18 avril 2011, le Dr H.________ avait alors estimé que la capacité de travail de l’intéressée restait pleinement affectée en raison de l’entorse de l’articulation radio-ulnaire distale droite traitée par ligamentoplastie, de la neuropathie iatrogène du nerf ulnaire droit et d’un syndrome douloureux somatoforme persistant (allodynie mécanique) de la branche dorsale au poignet droit, mais qu’elle était susceptible d’être améliorée par des mesures médicales. Lors de son examen clinique du 2 mars 2011, l’expert avait constaté une intensité des douleurs pratiquement inchangée (6/10 sur l’échelle EVA, pour 5,6/10 en février 2010) et une impotence fonctionnelle majeure de la main droite (80/100 points au questionnaire Quick Dash). L’anesthésie du territoire ulnaire persistait. Par contre, une récupération partielle de la force de la main droite était intervenue, avec une valeur « pince-pouce » passant de 27% à 69% et une force de serrage atteignant 46%, alors qu’elle était nulle en 2010. Estimant que l’état de santé de la recourante n’était pas encore stabilisé, le Dr H.________ avait préconisé une cure de rééducation sensitive après d’un centre spécialisé dans le traitement de la douleur. Dès lors que, même soulagée de ses douleurs, la recourante conserverait une impotence fonctionnelle de sa main droite, dominante, l’expert avait arrêté le taux d’atteinte à l’intégrité à 15%, compte tenu de la paralysie cubitale et du niveau des douleurs prévalant à l’époque. Sur ce constat, Z.________ avait une fois encore repris le versement des indemnités journalières auquel elle avait entre-temps mis un terme. De son côté, la recourante avait entrepris un traitement d’ergothérapie au Service de rééducation sensitive de l’Hôpital de B.C.________ le 22 juin 2011. Compte tenu d’une évolution favorable, ce traitement avait pris fin le 5 juin 2012 ; l’allodynie mécanique avait disparu, la sensibilité avait été quasi normalisée et les douleurs neurogènes avaient diminué de manière significative. Subsistait par contre un enraidissement des doigts IV et V, installé, rendant toute mobilisation douloureuse et entravant encore passablement la réalisation des activités quotidiennes. L’ergothérapeute avait pu constater que la patiente utilisait de plus en plus sa main droite dans la réalisation de ses activités, mais lorsqu’elle le faisait trop, elle devait prendre des anti-inflammatoires afin de diminuer les douleurs. cc) Invité à se prononcer sur l’évolution de l’état de santé de la recourante, le Dr  H.________ a derechef fait procéder à un bilan neurologique et a pratiqué un nouvel examen clinique le 31 juillet 2012. Dans son rapport du 3 septembre 2012, l’expert a diagnostiqué une paralysie iatrogène douloureuse du nerf ulnaire à la main droite et un syndrome somatoforme persistant résiduel (allodynie mécanique) du nerf ulnaire dorsal droit. Il a en outre relevé une évaluation de la douleur située entre 1 et 4/10 sur l’échelle EVA et un résultat de 72 points au questionnaire Quick Dash. L’examen a démontré une mobilité active subtotale à droite, avec force conservée des deux côtés. La force des deux pouces était conservée des deux côtés, de même que la mobilité métacapophalangienne et interphalangienne, qui était au demeurant symétrique, malgré une limitation partielle de certains mouvements du pouce droit. Au niveau des doigts de la main droite, l’expert a mis en évidence une sensibilité limitée à la douleur dans le territoire du nerf ulnaire, une force de pince termino-latérale de 4,5 kg (60%) et une force de serrage digitopalmaire de 20 kg (59%). Le bilan final d’ergothérapie du 5 juin 2012 avait permis de constater une régression des douleurs neurogènes et de l’allodynie avec normalisation de la sensibilité du nerf ulnaire sensitif dorsal droit. Malgré la persistance d’une raideur douloureuse des deux derniers doigts générant des limitations, la main droite avait pu être réintégrée dans les activités quotidiennes. Constatant que l’assurée restait limitée dans ses activités quotidiennes par la raideur douloureuse de ses doigts et qu’elle ne pouvait pas accomplir les gestes nécessitant dextérité, force ou endurance, l’expert a estimé que l’impotence de la main droite pouvait être considérée comme définitive et l’activité d’aide infirmière ne lui était plus accessible. Par contre, compte tenu de la régression de la symptomatologie douloureuse apportée par la rééducation sensitive et de la récupération partielle de l’usage de sa main droite, il a estimé que l’intéressée avait recouvré une capacité de travail entière dans toute activité manuelle légère ne nécessitant ni dextérité, ni force. dd) Le Dr H.________ est spécialiste en chirurgie de la main. Il a suivi l’évolution de l’état de santé de la recourante depuis 2010, au gré des différentes expertises qui lui ont été confiées.  A chacune de ses interventions, il a procédé à un examen clinique de l’assurée et a fait réaliser des bilans radiographiques et ergothérapeutiques, afin de tenir compte de l’éventuelle évolution de la situation médicale. Il a examiné les pièces médicales, les radiographies et les IRM présentes au dossier, prenant connaissance des évaluations de ses confères, et notamment de celle du Dr T.________, sur laquelle il s’est prononcé dans un rapport du 24 mars 2014. Présentant une bonne connaissance du dossier médical, l’expert a examiné de manière particulièrement circonstanciée les points litigieux. Son rapport d’expertise du 3 septembre 2012, tout comme ses rapports précédents, richement documenté, ne comporte pas de contradictions intrinsèques ; il contient des conclusions dûment motivées et prend en considération les plaintes de la recourante. De son côté, la recourante n’établit pas en quoi spécifiquement l’avis de Dr H.________ ne serait pas pertinent ou serait entaché de partialité. Elle ne présente aucun élément objectivement vérifiable qui aurait été ignoré par l’expert et qui serait de nature à remettre en question les conclusions de celui-ci. L’expertise du Dr H.________ répond ainsi aux réquisits jurisprudentiels permettant de lui reconnaître pleine valeur probante (cf. consid. 4b supra). ee) Les autres avis médicaux au dossier ne contiennent, pour leur part, aucune réelle évaluation de la capacité résiduelle de travail de l'assurée ou des activités encore exigibles une fois son état de santé stabilisé. La recourante soutient que, même en l’absence d’une évaluation formelle de la capacité résiduelle de travail, la description faite par le T.________ des activités qui lui sont encore accessibles permet de conclure qu’il n’existe pas de poste adapté, même dans l’hypothèse d’un marché de l’emploi équilibré et compte tenu d’un âge moyen d’une quarantaine d’années. Cet argument ne saurait toutefois emporter la conviction. Pour être utiles au juge dans l’appréciation de l’invalidité, les rapports médicaux doivent indiquer dans quelle mesure et pour quelles activités l’assuré est incapable de travailler (cf. consid. 6a supra). Or le Dr T.________ ne se prononce pas sur ces points. Son rapport du 14 janvier 2014, rédigé à l’attention du Tribunal de district de [...], dans le cadre d’une procédure civile, se penche sur la question du lien de causalité entre la paralysie ulnaire basse de la main droite et l’intervention chirurgicale de stabilisation réalisée le 3 mars 2008 par la Dresse  P.________, ainsi que sur la question d’une éventuelle violation des règles de l’art au cours de dite intervention. Ces éléments ne sont toutefois d’aucun secours dans le cadre de la présente procédure. L’énumération faite par le médecin des actes de la vie qui ne seraient plus à la portée de la recourante (à savoir se coiffer, couper sa viande, faire le ménage et porter une charge excédant 1 kg de la main droite) ne permet pas de trancher de manière concrète et précise la question de la capacité de travail résiduelle ; elle ne suffit en outre pas à établir de manière convaincante que l’appréciation faite par le Dr  H.________ dans son rapport du 3 septembre 2012 est erronée. Au demeurant, dans son rapport du 24 mars 2014, le Dr H.________ a examiné le rapport du Dr T.________ et a comparé les valeurs ressortant de l’examen auquel celui-ci a procédé, avec celles prévalant lors de son propre examen, en automne 2012. Il a relevé à cet égard que les résultats des deux examens précités étaient largement superposables ; les nuances qui prévalaient restaient majoritairement minimes et sans incidence sur la capacité de travail dans une activité manuelle légère. En définitive, aucun des éléments apportés par le Dr T.________ n’était de nature à modifier la fonctionnalité de la main droite de manière à remettre en question les conclusions du Dr H.________, à savoir une pleine capacité résiduelle de travail dans une activité adaptée. Quant au Dr L.________, il a régulièrement établi des certificats médicaux d’incapacité totale de travail jusqu’au 24 novembre 2011. Dans son certificat du 17 février 2012, il a indiqué que sa patiente présentait une capacité de travail de 30% depuis le « 18.08.2002 » [recte : 2005], la capacité de travail résiduelle de 70% en découlant ayant été confirmée dans son rapport médical intermédiaire du 9 mai 2012 à l’attention de Z.________. Cependant, le 10 juillet 2012, le praticien est revenu sur son certificat du 17 février 2012 ; il a tout à la fois attesté une totale incapacité de travail depuis le 18 août 2005 et proposé de faire trancher plus précisément cette question de la capacité de travail par le Dr H.________, appelé à examiner tout prochainement sa patiente. On ne peut dès lors retenir que le Dr L.________, outre le fait qu’il soit le médecin traitant de l’assurée, ait émis un avis clair et motivé sur la question de la capacité résiduelle de sa patiente dès le 17 février 2012, susceptible de remettre en cause l’appréciation du Dr H.________ sur ce point. c) Compte tenu de ce qui précède, c’est de manière convaincante que l’intimée a retenu, sur la base de l’avis de Dr H.________, une pleine capacité résiduelle de travail dans activité adaptée ne nécessitant ni port de charge ni dextérité.</w:t>
      </w:r>
    </w:p>
    <w:p>
      <w:r>
        <w:rPr>
          <w:b/>
        </w:rPr>
        <w:t>E. 6.2</w:t>
      </w:r>
    </w:p>
    <w:p>
      <w:r>
        <w:t>; cf.  Frésard/Moser-Szeless, op. cit., n° 165 pp. 898-899). Pour procéder à la comparaison des revenus, il convient de se placer au moment de la naissance du droit éventuel à la rente (cf. ATF 129 V 222 ; cf. TF 9C_254/2010 du 29 octobre 2010 consid. 4.2). c) Aux termes de l'art. 18 al. 2 LAA, le Conseil fédéral règle l'évaluation du degré de l'invalidité dans des cas spéciaux et peut à cette occasion déroger à l'art. 16 LPGA. Il a fait usage de cette compétence à l'art. 28 OLAA (ordonnance du 20 décembre 1982 sur l'assurance-accidents ; RS 832.202). En particulier, l'art. 28 al. 4 OLAA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D'après cette norme, il y a lieu de faire abstraction du facteur de l'âge non seulement pour la fixation du revenu d'invalide, mais également pour la détermination du revenu sans invalidité. Selon la jurisprudence, la notion d'âge moyen au sens de l'art. 28 al. 4 OLAA se situe autour de 42 ans ou entre 40 et 45 ans ; on considère que l'âge est avancé lorsque l'assuré est âgé d'environ 60 ans au moment où il a droit à la rente (cf. TF 8C_250/2009 du 1 er juillet 2009 consid. 2.2 et jurisprudence citée). En l'espèce, l'assurée, née le [...], a droit à une rente de vieillesse de l'AVS depuis le [...] 2010 (cf. art. 21 al. 1 let. b et al. 2 LAVS [loi fédérale du 20 décembre 1946 sur l'assurance-vieillesse et survivants ; RS 831.10]). Dans la mesure où elle avait ainsi déjà atteint l'âge légal de la retraite au moment de l'ouverture du droit à la rente, fixée au 1 er novembre 2012 selon la décision du 27 novembre 2012 confirmée sur opposition le 11 mars 2013, force est d’admettre que la condition de l'âge avancé requise par l'art. 28 al. 4 OLAA est par conséquent manifestement remplie en l'espèce. Encore faut-il, pour pouvoir appliquer cette disposition, que l'âge avancé soit la cause essentielle de la diminution de la capacité de gain. A ce propos, il convient de préciser que l'art. 28 al. 4 OLAA ne vise pas seulement l'éventualité dans laquelle l'âge avancé est la cause essentielle de la limitation de la capacité de travail, mais qu'il concerne également la situation où il est la cause essentielle de l'empêchement d'exercer une activité professionnelle qui aurait permis de maintenir la capacité de gain (cf. TF 8C_250/2009 précité consid. 3.2.1 et jurisprudence citée). Cette seconde hypothèse est réalisée en l'occurrence, dans la mesure où l'on peut raisonnablement considérer qu'aucun employeur ne serait disposé à engager une travailleuse ayant atteint ou étant proche de l'âge légal de la retraite et présentant des limitations liées à son état de santé (cf. dans ce sens TF 8C_209/2012 du 12 juillet 2012 consid. 5.3 et la référence citée). Il s'ensuit que dans le cas particulier, il y a lieu de tenir compte des revenus que pourrait réaliser une assurée d'âge moyen présentant les mêmes séquelles accidentelles que la recourante. d)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(cf. ATF 134 V 322 consid. 4.1 et 129 V 222 consid. 4.3.1 ; cf. TF 9C_651/2008 du 9 octobre 2009, consid. 6.1.2.1). En l’espèce, la recourante ne conteste pas le revenu de valide arrêté par l’intimée sur la base des informations fournies par la M.________, à savoir qu’en 2012, l’intéressée aurait perçu un salaire de 67'349 fr. 70, comprenant son salaire mensuel brut de 4'674 fr. 90 versé 13 fois, une indemnité de nuit, servie 12 fois, de 540 fr. par mois, et des indemnités dimanches/jours fériés de 8 fr. par mois en moyenne. 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ou sur les données salariales résultant des descriptions de postes de travail (ATF 129 V 472 consid. 4.2.1 ; TF 9C900/2009 du 27 avril 2010 consid. 3.3). On se réfère alors à la statistique des salaires bruts standardisés, en se fondant toujours sur la médiane ou valeur centrale (ATF 124 V 323 consid. 3b/bb ; TF I 7/2006 du 12 janvier 2007 consid. 5.2 ; VSI 1999 p. 182). En l’absence de formation professionnelle dans une telle activité, il convient de se référer au revenu mensuel brut (valeur centrale) pour une activité simple et répétitive dans l’économie privée, tous secteurs confondus (RAMA 2001 n o U 439 p. 347). Le montant résultant des statistiques peut faire l’objet d’une réduction dépendant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p. 79). Le Tribunal fédéral considère que la nature des limitations fonctionnelles présentées par une personne assurée peut constituer un facteur susceptible d’influer sur ses perspectives salariales (ATF 126 V 75 consid. 5a/bb p. 78 et les références citées ; voir également arrêt I 848/05 arrêt du 29 novembre 2006, consid. 5.3.3). De jurisprudence constante, le marché du travail en général – et le marché du travail équilibré en particulier – recouvre un large éventail d’activités légères, simples et répétitives (cf. TFA I 383/06 du 5 avril 2005 consid. 4.4). Il est dès lors indéniable qu’un certain nombre d’entre elles, ne nécessitant aucune formation spécifique, sont raisonnablement exigibles de la recourante et lui sont accessibles, car compatibles avec les limitations fonctionnelles qu’elle connaît. Le Tribunal fédéral a également régulièrement retenu qu’une personne quasi mono-manuelle (avec perte du bras dominant) disposait de possibilités suffisantes sur le marché du travail (TF 8C_724/2012 du 8 janvier 2013 consid. 4.3 et les références citées, 8C_971/2008 du 23 mars 2009, consid. 4.2.5). On ne saurait dès lors faire grief à l’intimée de n’avoir pas fait procéder à une enquête économique. C’est dès lors à juste titre que l’intimée s’est référée à l’ESS pour déterminer le salaire d'une personne d'âge moyen affectée des mêmes séquelles accidentelles que la recourante et dont l'activité serait exigible en plein. En l’occurrence, le salaire de référence est celui auquel peuvent prétendre les femmes effectuant des activités simples et répétitives dans le secteur privé (production et services), soit en 2010, 4’225 fr. par mois, part au 13 ème salaire comprise (Enquête suisse sur la structure des salaires 2010, TA 1 niveau de qualification 4). Comme les salaires bruts standardisés tiennent compte d’un horaire de travail de quarante heures, soit une durée hebdomadaire inférieure à la moyenne usuelle dans les entreprises en 2012 (41,7 heures ; La Vie économique, 10-2014, p. 84, tableau B 9.2), le revenu mensuel s’élève à 4'404 fr. 60, soit un salaire annuel de 52'855 fr. 20. Après adaptation de ce chiffre à l’évolution des salaires nominaux des femmes de 2010 à 2012 (+ 1.0% en 2011 et + 1.0% en 2012 ; La Vie économique, 10-2014, p. 85, tableau B 10.3 ; Statistique de la Suisse, Office fédéral de la statistique, Vie active et rémunération du travail, T39 p. 23), on obtient un revenu annuel de 53'917 fr. 60, qu’il convient de substituer à celui de 53'894 fr. 35 retenu par l’intimée. Cette différence, certes minime, s’explique par le fait que l’intimée a pris en considération une durée hebdomadaire de travail de 41,6 heures (au lieu de 41,7) et une évolution des salaires nominaux de 1.2% (au lieu de 1.0%) en 2012. Il n’y a par contre pas lieu de revenir sur le taux d’abattement de 15% arrêté par l’intimée, que la recourante ne conteste d’ailleurs pas, à juste titre. Ce taux tient compte de manière adéquate des facteurs propres à la personne de l’assurée. Les limitations fonctionnelles de la recourante, savoir la nécessité d’éviter les travaux requérant port de charge et dextérité de la main droite, n’entravent pas l’accomplissement d’une activité manuelle légère. L’influence de ces limitations sur les perspectives salariales de l’intéressée est certes défavorable, mais il demeure approprié de les prendre en considération au titre de limitations liées au handicap à concurrence d’un facteur de réduction de 15%, comme l’a fait l’intimée. Le Tribunal fédéral a au demeurant confirmé un abattement de même importance dans une affaire similaire (8C_971/2008 consid. 4.2.6.2). Le revenu d’invalide après abattement s’élève ainsi à 45'829 fr. 95. Cela étant, en tenant compte d’un revenu sans invalidité de 67'349 fr. 70 et d’un revenu d’invalide de 45'829 fr. 95, le taux d’invalidité s’élève à 32%. L’appréciation de l’intimée quant au taux d’invalidité retenu échappe ainsi à la critique et peut être confirmée.</w:t>
      </w:r>
    </w:p>
    <w:p>
      <w:r>
        <w:rPr>
          <w:b/>
        </w:rPr>
        <w:t>E. 7</w:t>
      </w:r>
    </w:p>
    <w:p>
      <w:r>
        <w:t>Cela étant, il reste à examiner le calcul du préjudice économique de la recourante et, partant, son taux d'invalidité.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cf. TF 8C_125/2010 du 2 novembre 2010 consid. 2 ; cf. Jean-Maurice Frésard/Margit Moser-Szeless, L'assurance-accidents obligatoire, in : Schweizerisches Bundesver-waltungsrecht, Soziale Sicherheit, 2ème éd., Bâle/Genève/Munich 2007, n° 165 p. 898). La notion de marché du travail équilibré est certes théorique et abstraite mais elle est inhérente au système et trouve son fondement à l'art. 16 LPGA (applicable en vertu du renvoi de l'art. 18 LAA).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C'est dès lors en vain que la recourante fait valoir que la comparaison des revenus effectuée par Z.________ ne tient pas compte de la réalité du marché du travail. b)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cf. TF 9C_195/2010 du 16 août 2010 consid.</w:t>
      </w:r>
    </w:p>
    <w:p>
      <w:r>
        <w:rPr>
          <w:b/>
        </w:rPr>
        <w:t>E. 8</w:t>
      </w:r>
    </w:p>
    <w:p>
      <w:r>
        <w:t>Il reste à examiner le bien-fondé du taux de l'indemnité pour atteinte à l'intégrité retenu par l'intimée.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(cf. ATF 133 V 224 consid. 2).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(cf. TF 8C_195/2013 du 10 août 2013 consid. 6.1, 8C_459/2008 du 4 février 2009 consid. 2.1; TF 8C_365/2007 du 15 mai 2008 consid. 7.2 ; ATF 124 V 211 consid. 4a/cc) et permettent de procéder à une appréciation plus nuancée, lorsque l'atteinte d'un organe n'est que partielle. b) En l'espèce, l'intimée retient une atteinte à l'intégrité de 10%, sur la base du rapport du Dr H.________ du 3 septembre 2012. La recourante fait valoir de son côté que le taux de l’atteinte à l’intégrité est de 50%. Le Dr H.________ s’est prononcé une première fois sur la question de l’atteinte à l’intégrité dans son rapport du 18 avril 2011. Fort des résultats de récents bilans neurologique et ergothérapeutique, l’expert a estimé que l’intéressée subissait une atteinte à son intégrité physique, car même soulagée de ses douleurs, elle conserverait une impotence fonctionnelle notoire de sa main droite, dominante. A l’époque, compte tenu de la paralysie cubitale distale subtotale et du niveau de douleur affectant la recourante, le Dr H.________ avait évalué dite atteinte à 15%. Lors de son examen clinique, il avait notamment constaté que l’état de l’assurée n’avait guère évolué, voire même empiré, depuis 2010. Les divers traitements antalgiques entrepris au DE._______ étaient restés sans succès. Comme il l’avait déjà fait en 2010, il a suggéré d’orienter la patiente vers un établissement spécialisé dans le traitement de la douleur, en vue d’une rééducation sensitive. Appelé à trancher une nouvelle fois la question de l’atteinte à l’intégrité en été 2012, le Dr H.________ s’est prononcé dans un rapport du 3 septembre 2012, dans lequel il a pris acte du fait que l’assurée estimait que la symptomatologie douloureuse de sa main droite avait partiellement régressé. Le test EVA, dans lequel l’assurée a procédé à une auto-évaluation de sa douleur, a effet connu des résultats en nette amélioration,  passant de 5,6/10 en février 2010,  6/10 en mars 2011, puis 1 à 4/10 en juillet 2012. La diminution des douleurs s’est également reflétée dans les tests de douleurs effectués par l’ergothérapeute, lesquels ont présenté des valeurs régressant régulièrement, passant de 97 points sur 100 en juin 2011, à 6 points sur 100 en avril 2012. L’expert a également constaté une récupération partielle de l’usage de la main droite, qui avait pu être réintégrée dans les activités de la vie quotidienne, malgré la persistance d’une raideur douloureuse des deux derniers doigts générant des limitations, ainsi qu’une diminution des douleurs. L’assurée pouvait notamment utiliser son pouce et ses doigts, dans la fonction de pince. Elle avait également récupéré une force de serrage avoisinant le 60% de la normale. Compte tenu de ces améliorations, le Dr H.________ a corrigé le taux d’atteinte à l’intégrité, le fixant désormais à 10%. Dès lors que le taux de 15% avancé par l’expert en 2011 était justifié par la paralysie cubitale distale subtotale et par le niveau des douleurs affectant l’assurée, c’est de manière convaincante qu’il a réévalué son appréciation, en fonction de l’évolution positive intervenue sur ces points. En outre, compte tenu de la paralysie iatrogène douloureuse du nerf ulnaire affectant l’assurée, le taux de 10% retenu par le Dr H.________ n’est pas critiquable au regard des tables d’indemnisation de la CNA (Table 1, révision 2000, atteinte à l’intégrité résultant de troubles fonctionnels des membres supérieurs). La recourante revendique une IPAI de 50%, au motif que sa main en forme de crochet empêche toute activité et que son atteinte équivaut à la perte de sa main dominante. Cette argumentation ne saurait être suivie. D’une part, comme rappelé ci-dessus, l’atteinte à l’intégrité doit être évaluée exclusivement sur la base de constatations médicales objectives (cf. consid. 7a supra). La recourante ne fournit toutefois pas de constatations émanant d’un médecin ; elle se contente de substituer sa propre appréciation à celle de l’expert H.________. En particulier, le rapport du T.________ du 14 janvier 2014 produit par la recourante ne renseigne pas sur la question de l’atteinte à l’intégrité, de sorte qu’il n’est d’aucun secours sur ce point. D’autre part, à teneur de l’annexe 3 OLAA, même la perte d’une main, condition qui n’est pas réalisée en l’espèce, ne donnerait pas lieu à une atteinte à l’intégrité de 50%, mais de 40% seulement. En outre, l’assurée étant parvenue à récupérer un usage partiel de sa main, elle ne peut valablement s’estimer affectée de la perte totale de sa main. En définitive, le taux d’atteinte à l’intégrité indemnisable de 10% retenu par l’intimée, sur la base de l’estimation du Dr H.________, doit être confirmé.</w:t>
      </w:r>
    </w:p>
    <w:p>
      <w:r>
        <w:rPr>
          <w:b/>
        </w:rPr>
        <w:t>E. 9</w:t>
      </w:r>
    </w:p>
    <w:p>
      <w:r>
        <w:t>a) Il résulte de ce qui précède que le recours, mal fondé, doit être rejeté et la décision attaquée confirmée. b) Il n’y a pas lieu de percevoir de frais judiciaires, la procédure étant gratuite, ni d’allouer de dépens (cf. art. 61 let. a et g LPGA). c) La recourante a été mis au bénéfice de l'assistance judiciaire, de sorte qu'une équitable indemnité au conseil juridique désigné d'office pour la procédure est provisoirement à la charge du canton (art. 122 al. 1 let. a et b CPC [code de procédure civile du 19 décembre 2008 ; RS 272], applicable par renvoi de l'art. 18 al. 5 LPA-VD). La partie qui a obtenu l’assistance judiciaire est tenue à remboursement dès qu'elle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 RSV 211.02.3], applicable par renvoi de l'art. 18 al. 5 LPA-VD). En l’espèce, Me Laure Chappaz a produit le 7 août 2014 la liste de ses opérations, comprenant également le montant de ses débours, laquelle a été contrôlée au regard de la procédure et rentre globalement dans le cadre du bon accomplissement du mandat. Ainsi, doit être arrêtée, au titre de l’indemnité d’office, la somme de 2'583 fr. (14 heures et 21 minutes au tarif horaire de 180 fr.), qui correspond à la rémunération de l’ensemble des opérations nécessaires à la procédure de recours, à laquelle il convient d’ajouter un montant de 161 fr. 30 à titre de débours, soit 2'963 fr. 85, TVA à 8%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