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132/19 - 132/2020 vom 4. September 2020</w:t>
      </w:r>
    </w:p>
    <w:p>
      <w:r>
        <w:t>VD Tribunal cantonal, 2020-09-04, FR</w:t>
      </w:r>
    </w:p>
    <w:p>
      <w:r>
        <w:rPr>
          <w:b/>
        </w:rPr>
        <w:t xml:space="preserve">Quelle: </w:t>
      </w:r>
      <w:r>
        <w:t>https://mcp.opencaselaw.ch/entscheid/vd_findinfo_AA_132_19_-_132_2020</w:t>
      </w:r>
    </w:p>
    <w:p>
      <w:r>
        <w:t>FR: VD_FINDINFO AA 132/19 - 132/2020 du 4 septembre 2020</w:t>
      </w:r>
    </w:p>
    <w:p>
      <w:r>
        <w:t>IT: VD_FINDINFO AA 132/19 - 132/2020 del 4 settembre 2020</w:t>
      </w:r>
    </w:p>
    <w:p>
      <w:pPr>
        <w:pStyle w:val="Heading2"/>
      </w:pPr>
      <w:r>
        <w:t>Regeste</w:t>
      </w:r>
    </w:p>
    <w:p>
      <w:r>
        <w:t>ACCIDENT, REVENU D'INVALIDE | 18 al. 1 LAA, 19 al. 1 LAA</w:t>
      </w:r>
    </w:p>
    <w:p>
      <w:pPr>
        <w:pStyle w:val="Heading2"/>
      </w:pPr>
      <w:r>
        <w:t>Erwägungen</w:t>
      </w:r>
    </w:p>
    <w:p>
      <w:r>
        <w:rPr>
          <w:b/>
        </w:rPr>
        <w:t>E. 4</w:t>
      </w:r>
    </w:p>
    <w:p>
      <w:r>
        <w:t>Dans un second moyen, le recourant conteste le taux d'abattement de 10 % retenu par l'intimée dans la détermination de son revenu avec invalidité.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rPr>
          <w:b/>
        </w:rPr>
        <w:t>E. 5</w:t>
      </w:r>
    </w:p>
    <w:p>
      <w:r>
        <w:t>a)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arrêts TF 8C_80/2013 du 17 janvier 2014 consid. 4.2 ; 9C_751/2011 du 30 avril 2012 consid. 4.2.1 ; 8C_227/2017 du 17 mai 2018 consid. 3.1).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b/aa)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commande de faire abstraction du facteur de l'âge pour les deux termes de la comparaison des revenus (cf. ATF 122 V 418 consid. 3b ; arrêt TF 8C_37/2017 du 15 septembre 2017 consid. 6).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 113 V 132 consid. 4b). Selon la jurisprudence, la notion d'âge moyen au sens de l'art. 28 al. 4 OLAA se situe autour de 42 ans ou entre 40 et 45 ans; on considère que l'âge est avancé lorsque l'assuré est âgé d'environ 60 ans au moment où il a droit à la rente (ATF 122 V 418 consid. 1b ; 426 consid. 2 ; arrêt TF 8C_37/2017 du 15 septembre 2017 consid. 6).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arrêt U 538/06 du 30 janvier 2007 consid. 3.2 ; arrêt TF 8C_37/2017 du 15 septembre 2017 consid. 6). bb) Le point de savoir si, dans le domaine de l'assurance-accidents obligatoire, le critère de l'âge constitue un critère d'abattement ou si, dans ce domaine, l'influence de l'âge sur la capacité de gain doit être prise en compte uniquement dans le cadre de la réglementation particulière de l'art. 28 al. 4 OLAA n'a pas encore été tranché par le Tribunal fédéral (arrêts TF 8C_227/2017 du 17 mai 2018 consid. 5 ; 8C_754/2015 du 26 février 2016 consid. 4.3, in SVR 2016 UV n° 39 p. 131 ; 8C_439/2017 du 6 octobre 2017 consid. 5.6.3 ; 8C_849/2017 du 5 juin 2018 consid. 3.2 ; 8C_878/2018 du 21 août 2019 consid. 5.3.1). Il convient ainsi de rappeler que selon la jurisprudence, l'âge d'un assuré ne constitue pas per se un facteur de réduction du salaire statistique. Bien que l'âge soit inclus dans le cercle des critères déductibles depuis la jurisprudence de l'ATF 126 V 75 - laquelle continue de s'appliquer (TF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(arrêts TF 8C_227/2017 du 17 mai 2018 consid. 5 ; 8C_766/2017 et 8C_773/2017 du 30 juillet 2018 consid. 8.6; notamment 8C_439/2017 du</w:t>
      </w:r>
    </w:p>
    <w:p>
      <w:r>
        <w:rPr>
          <w:b/>
        </w:rPr>
        <w:t>E. 6</w:t>
      </w:r>
    </w:p>
    <w:p>
      <w:r>
        <w:t>En l'espèce, le recourant se limite à contester le taux d'abattement de 10 % appliqué sur le salaire avec invalidité statistique déterminé par l'intimée. Il allègue que ses limitations fonctionnelles, son âge et ses années de service sont autant de facteurs permettant de retenir un degré d'abattement de 20 %. Il se prévaut également de la position de l'OAI en la matière. L'intimée, quant à elle, estime que les limitations fonctionnelles ont été correctement prises en compte. Elle soutient par ailleurs que l'âge, ainsi que les années de service ne constituent pas des facteurs déterminants dans le cas d'espèce, étant donné que le revenu d'invalide statistique a été établi sur la base d'un degré de qualification 1, soit une catégorie d'emploi ne nécessitant ni formation, ni expérience professionnelle spécifique. a) S'agissant du premier critère des limitations fonctionnelles, le recourant expose que la gravité de ces dernières et leur impact sur sa capacité de gain n'auraient pas été suffisamment pris en considération par la CNA lorsqu'elle a fixé le taux d'abattement à 10 %. aa) Du point de vue médical, le Professeur P.________, dans son rapport du 26 septembre 2018, a conclu que le recourant pouvait reprendre une activité sédentaire à 100 %. Il a en particulier souligné qu'en tant que magasinier, l'intéressé pourrait au moins travailler à 50 % s'il n'était pas obligé de se lever trop souvent. Quant au Dr J.________, il a confirmé dans son rapport du 15 avril 2019 que le périmètre de marche était limité à 200 mètres et qu'avec ses cannes anglaises, le recourant pouvait se déplacer uniquement de quelques pas. Dès lors, les limitations fonctionnelles visaient toutes activités sortant du cadre d'une activité sédentaire stricte. Contrairement au Professeur P.________ (cf. rapport du 26 septembre 2018), le Dr J.________ a considéré que l'exigibilité n'était plus acquise pour la profession de magasinier. Ce médecin a encore attesté, dans son rapport du 15 mai 2019, que le recourant bénéficiait d'une pleine capacité de travail, sans limitation de temps, ni de rendement, dans une activité adaptée. Ainsi, sur le plan médical, le recourant dispose d'une capacité de travail théorique entière dans une activité sédentaire stricte, son travail devant s'effectuer assis, ce qui lui permet de ne pas devoir changer de position. Ces limitations ont à juste titre été prises en compte par la CNA. Des considérants de la décision litigieuse, il ressort toutefois que l'intimée s'est limitée à ces seules considérations pour arrêter le taux d'abattement à 10 %. bb) Cela étant, il ne faut pas perdre de vue les atteintes à la santé dans leur globalité, telles qu'elles ont pu fonder les limitations fonctionnelles retenues. Ainsi, l'activité sédentaire théorique stricte à laquelle l'assuré est renvoyée recouvre une liberté de mouvement grandement restreinte en termes de périmètre de marche, entravant par ailleurs tout port de charges à la mobilité en raison de la nécessité de se déplacer avec deux cannes, alors qu'une gonarthrose évolutive, une surcharge pondérale induite par l'absence de mobilité et des œdèmes en surcharges mécaniques conduisent à relativiser sérieusement l'exercice effectif du travail que l'assuré serait théoriquement à même d'effectuer. En d'autres termes, appréciées dans le contexte des atteintes à la santé dans leur globalité, les limitations fonctionnelles énoncées, dont les médecins s'accordent à dire qu'elles ne sont en réalité pas définitives, prétéritent manifestement l'intéressé face à un employeur potentiel sur le marché du travail, où il est avant tout question de rendement. Ainsi, un taux d'abattement de 10 % au titre des seules limitations fonctionnelles paraît déjà en soi discutable en raison de leur impact concret global. b) S'agissant du critère des années de service, que le recourant estime devoir être pris en considération au titre de l'abattement, il y a lieu de se ranger à l'avis opposé de l'intimée. En effet, de jurisprudence constante, il n'est pas fait application de ce facteur dans le cas des travailleurs non qualifiés, tel que le recourant. c) Par contre, le facteur de l'âge de l'assuré s'avère pertinent. Il s'agit manifestement d'un âge avancé au sens de la jurisprudence rappelée ci-dessus (cf. consid. 5b supra ), soit 62 ans, le 15 avril 2019, au moment déterminant de l'ouverture du droit à la rente correspondant à la stabilisation de l'état de santé (art. 19 al. 1 LAA). Cela étant, prescrivant de faire abstraction de cet âge dans l'assurance-accident, l'art. 28 al. 4 OLAA ne trouve en l'occurrence pas application. En effet, l'âge avancé du recourant ne constitue pas, comme au sens de cette disposition, la cause essentielle de la diminution de la capacité de gain ou de l'empêchement d'exercer une activité professionnelle qui aurait permis de conserver cette capacité. Ce sont en effet les séquelles de l'accident du 9 mai 2017 et les limitations fonctionnelles induites par les atteintes à la santé qui s'avèrent grever au premier plan la capacité de gain de l'intéressé. Comme rappelé ci-dessus (cf. consid. 5b/bb supra ), le Tribunal fédéral semble s'être dispensé à ce jour encore de trancher la question de savoir si, dans le cadre de l'assurance-accident, l'âge avancé constitue un critère d'abattement en soi ou s'il ne doit être pris en considération que dans le cadre de la réglementation particulière de l'art. 28 OLAA. Néanmoins, la jurisprudence retient qu'il peut être tenu compte de ce critère en ce sens que l'effet de l'âge, combiné avec un handicap, doit faire l'objet d'une analyse dans le cas concrètement soulevé, singulièrement en procédant à l'examen de la persistance ou non d'une capacité d'adaptation sur le plan professionnel, susceptible de compenser les désavantages compétitifs induits par l'âge, au regard de l'ensemble des facteurs que l'on prend en considération sur le marché équilibré du travail. Or, en l'espèce, à l'âge avancé de l'assuré s'ajoutent, non seulement la persistance d'atteintes à la santé évolutives avec leurs limitations fonctionnelles manifestement lourdes, mais également l'absence d'une formation reconnue et d'une expérience professionnelle utile autre que celle exercée depuis 1993 auprès du même employeur et qui ne peut plus être reprise. Il s'agit ainsi d'autant de facteurs pénalisants, dressant un tableau global sombre, ce qui permet de conclure que l'intéressé ne bénéfice concrètement plus d'une capacité d'adaptation professionnelle susceptible de compenser les désavantages compétitifs liés à son âge, ceci sur le marché équilibré du travail, et même dans le secteur des emplois non qualifiés qui est le sien. Il convient en conséquence, dans une approche globale du cas, de prendre en considération l'âge avancé du recourant comme facteur d'abattement supplémentaire. d) Des considérations qui précédent, il résulte que le taux d'abattement de 10 % retenu par l'intimée s'avère insuffisant. Il convient dès lors, conformément à la jurisprudence qui confère à l'autorité judiciaire un pouvoir d'examen en opportunité de la décision administrative litigieuse, d'apprécier quelle autre solution s'avère plus adéquate ou mieux appropriée au cas concret, évalué dans sa globalité. Comme le relève à juste titre l'intimée, elle n'avait pas à s'aligner sur le taux d'abattement de 20 % retenu par l'OAI, dont les décisions n'ont pas force contraignante pour l'assureur-accident. Il s'agit néanmoins d'un élément décisionnel dont il n'y a pas à se dispenser d'éprouver la pertinence, dès lors qu'il est réputé résulter d'un examen complet du cas par des professionnels, sur les plans médical, personnel, professionnel et assécurologique, ce qui constitue assurément une bonne base de réflexion et d'appréciation. On observera ainsi que l'abattement retenu par l'OAI, sur la base d'un même dossier constitué, a été correctement motivé par la prise en compte des trois critères que sont les limitations fonctionnelles, l'âge avancé et les années de service de l'intéressé. Ce dernier critère étant, comme on l'a vu, exclu en assurance-accident dans le cas de travailleurs non qualifiés, il n'est dès lors pas pertinent de s'aligner sur le taux retenu par l'OAI, logiquement supérieur à celui que l'intimée devait prendre en compte. Ainsi, dans la mesure où il convient, comme on l'a vu, de prendre en considération le critère de l'âge avancé, en appréciant l'ensemble des circonstances particulières du cas, un taux d'abattement global de 15 % s'avère approprié pour fonder le revenu avec invalidité du recourant.</w:t>
      </w:r>
    </w:p>
    <w:p>
      <w:r>
        <w:rPr>
          <w:b/>
        </w:rPr>
        <w:t>E. 7</w:t>
      </w:r>
    </w:p>
    <w:p>
      <w:r>
        <w:t>Il reste à déterminer le taux d'invalidité du recourant et son éventuel droit à une rente de l'assurance-accident. A cet égard, sans être remis en cause par les parties, le gain sans invalidité s'élève à 65'000 fr., montant qu'il convient de confirmer (cf. consid. 4c supra ). S'agissant du revenu avec invalidité, il convient d'appliquer un taux d'abattement de 15 % sur le montant statistique de 67'743 fr., correctement calculé sur la base des données de l'ESS (cf. consid. 4d supra ), ce dont les parties conviennent également. Le revenu avec invalidité ascende dès lors à 57'581 fr. 55. Après comparaison entre le revenu présumable sans invalidité et le gain exigible avec invalidité, il en résulte une perte économique causée par l'accident de 11.44 %, taux arrondi à 11 %, lequel ouvre ainsi le droit à la rente (art. 18 al. 1 LAA).</w:t>
      </w:r>
    </w:p>
    <w:p>
      <w:r>
        <w:rPr>
          <w:b/>
        </w:rPr>
        <w:t>E. 8</w:t>
      </w:r>
    </w:p>
    <w:p>
      <w:r>
        <w:t>a) Eu égard à ce qui précède, le recours de Q.________ est partiellement admis et la décision sur opposition du 5 septembre 2019 réformée en ce sens que Q.________ a droit à une rente d’invalidité de l’assurance-accidents correspondant à un degré d'invalidité de 11 %. b) Il n’y a pas lieu de percevoir de frais judiciaires, la procédure étant gratuite (art. 61 let. a LPGA). c) Le recourant, qui obtient partiellement gain de cause, mais dans une large mesure, ceci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