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107/21 - 131/2021 vom 1. Dezember 2021</w:t>
      </w:r>
    </w:p>
    <w:p>
      <w:r>
        <w:t>VD Tribunal cantonal, 2021-12-01, FR</w:t>
      </w:r>
    </w:p>
    <w:p>
      <w:r>
        <w:rPr>
          <w:b/>
        </w:rPr>
        <w:t xml:space="preserve">Quelle: </w:t>
      </w:r>
      <w:r>
        <w:t>https://mcp.opencaselaw.ch/entscheid/vd_findinfo_AA_107_21_-_131_2021</w:t>
      </w:r>
    </w:p>
    <w:p>
      <w:r>
        <w:t>FR: VD_FINDINFO AA 107/21 - 131/2021 du 1 décembre 2021</w:t>
      </w:r>
    </w:p>
    <w:p>
      <w:r>
        <w:t>IT: VD_FINDINFO AA 107/21 - 131/2021 del 1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le recourant peut prétendre à des prestations d’assurance au titre de la maladie professionnelle pour les troubles annoncés à la CNA à la suite de l’événement du 20 avril 2020.</w:t>
      </w:r>
    </w:p>
    <w:p>
      <w:r>
        <w:rPr>
          <w:b/>
        </w:rPr>
        <w:t>E. 3</w:t>
      </w:r>
    </w:p>
    <w:p>
      <w:r>
        <w:t>En vertu de l’art. 6 al. 1 LAA, les prestations d’assurance sont allouées en cas d’accident professionnel, d’accident non professionnel ou de maladie professionnelle.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l’assurance-accidents ; RS 832.202). En l'espèce, il n'est pas contesté que, comme l'a constaté l’intimée, les troubles annoncés par le recourant ne figurent pas dans la liste exhaustive des affections dues au travail figurant à l'annexe 1 de l'OLAA, de sorte que l'art. 9 al. 1 LAA ne saurait trouver application.</w:t>
      </w:r>
    </w:p>
    <w:p>
      <w:r>
        <w:rPr>
          <w:b/>
        </w:rPr>
        <w:t>E. 4</w:t>
      </w:r>
    </w:p>
    <w:p>
      <w:r>
        <w:t>a)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119 V 200 consid. 2b ; 116 V 136 consid. 5a et les références). b) Selon la jurisprudence, la condition d'un lien exclusif ou nettement prépondérant au sens de l'art. 9 al. 2 LAA - parfois appelé causalité qualifiée - n'est réalisée que si la maladie a été causée à 75 % au moins par l'exercice de l'activité professionnelle ( ATF 126 V 183 consid. 2b p. 186; 119 V 200 consid. 2b p. 201 ; 116 V 136 consid. 5a p. 142 ; 114 V 109 consid. 3 p. 111 et les références).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 ATF 126 V 183 consid. 4c p. 189; 116 V 136 consid. 5c p. 143; RAMA 2000 n° U 408 p. 407, arrêt 8C_757/2018 du 28 mars 2019 consid. 4.2; arrêt U 235/99 du 22 septembre 2000 consid. 1a). 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 ATF 126 V 183 consid. 4c p. 189; arrêt 8C_215/2018 du 4 septembre 2018 consid. 3.2; arrêt U 381/01 du 20 mars 2003 consid. 3.3). Il découle de ce qui précède que, dans la mesure où la preuve d'une relation de causalité qualifiée (proportion d'au moins 75 %)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 ATF 126 V 183 consid. 4c p. 190 ; ATF 116 V 136 consid. 5c in fine p. 144).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 ATF 126 V 183 consid. 4c p. 190; ATF 116 V 136 consid. 5d ; arrêt 8C_620/2018 du 15 janvier 2019 consid. 2.2 et les références citées ; arrêt U 381/01 précité consid. 3.3). c) Conformément au principe général découlant de l'art. 8 CC, c'est la partie à laquelle incombe le fardeau de la preuve qui supporte les conséquences de l'échec de la preuve. C'est ainsi à l'assuré de rendre vraisemblable, avec un degré de présomption suffisant, que son affection est due, dans la proportion requise, à son activité professionnelle (8C_516/2020 du 3 février 2021, consid. 4.2.1 ; ATF 116 V 136 consid. 5a p. 142 et les références).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En l’espèce, l’intimée s’est fondée sur l’appréciation du Dr A.________ du 14 janvier 2021, qui a constaté que les épisodes douloureux au niveau de l’épaule droite étaient à chaque fois secondaires à un événement déclenchant, comme un faux-mouvement ou un traumatisme. Il a relevé qu’entre 2014 et 2020, soit après le premier événement, le recourant avait exercé son activité professionnelle sans aucune difficulté. En outre, les lésions décrites dans le protocole opératoire apparaissaient comme relativement minimes et de l’aveu même du chirurgien orthopédique, l’assuré présentait une bonne musculature, ce qui parlait contre une épargne de cette épaule qui aurait pu être secondaire à des douleurs chroniques. Dans ces conditions, il lui était impossible de conclure à l’existence d’une maladie professionnelle. Cette appréciation médicale répond aux réquisits jurisprudentiels pour se voir attribuer une pleine valeur probante. Elle examine les rapports médicaux au dossier, décrit les tâches exigées par l’activité professionnelle du recourant et formule des conclusions motivées. Pour sa part, le recourant se réfère à l’avis du Dr B.________ du 17 février 2021 qui a admis que le problème douloureux du recourant à l'épaule droite avait commencé lors d’un incident, à savoir lorsqu’il avait heurté un gros caillou en pelletant assez violemment dans un jardin. Il a indiqué que le bilan effectué au niveau orthopédique avait mis en évidence une tendinopathie (lésion) de son sus-épineux avec une importante inflammation, ce qui n’est pas contesté. Il a ajouté que, pour sa part, il considérait cette tendinopathie comme une maladie professionnelle, à 100% déclenchée par l’activité de plâtrier/peintre du recourant et décompensée par l’incident du 20 avril 2020. En résumé, le recourant présentait, à la suite de l’accident, une décompensation d’une maladie professionnelle à savoir une tendinite du sus-épineux liée à l’activité de plâtrier/peintre. Dans son rapport du 17 février 2021, le médecin traitant ne prend pas position sur l'appréciation du médecin de l’assurance et ne fait qu’exprimer une opinion personnelle en se basant sur le type de tâches réalisées par le recourant dans le cadre de son activité professionnelle. Ce raisonnement ne saurait suffire. Dépourvus de toute explication circonstanciée et convaincante, les propos du DrB.________ ne suffisent donc pas pour mettre en doute la fiabilité et la pertinence des constatations du Dr A.________. On relève que dans des pathologies comme celles du recourant, relativement fréquentes, ce sont souvent et avant tout des facteurs constitutionnels qui entrent en ligne de compte. S'il n'est certes pas exclu que les plaintes du recourant aient été déclenchées par son activité professionnelle, il faudrait, pour conclure à une maladie professionnelle au sens de l'art. 9 al. 2 LAA, que le lien de causalité puisse être qualifié de nettement prépondérant. Or, le Dr B.________ affirme que tel est le cas simplement en se reposant sur la pénibilité des travaux exécutés par le recourant avec les bras en élévation, alors que le Dr A.________ observe que les douleurs au niveau de l’épaule droite étaient à chaque fois secondaires à un événement déclenchant tel qu’un traumatisme ou un faux-mouvement. C’est en effet à la suite de tels événements survenus en 2014 et en 2020 que le recourant a ressenti des douleurs qui l’ont empêché de travailler temporairement. Il a par la suite retrouvé une pleine capacité de travail. Après consultation du dossier, l’assureur maladie a pour sa part admis la décision de l’assurance accident et précisé qu’il acceptait la prise en charge du traitement. En définitive, l’avis du Dr A.________, qui fonde sous l'angle médical la décision de l'intimée et dont il résulte qu'il n'était pas possible de retenir un lien de causalité nettement prépondérant entre l'activité professionnelle du recourant et les troubles annoncés par celui-ci, satisfait aux exigences jurisprudentielles relatives à la valeur probante de rapports médicaux. L'avis non étayé du Dr B.________ qui se borne à affirmer que les pathologies présentées par son patient lui semblent liées exclusivement à son poste de travail, n'est pas propre à faire naître un doute sur les conclusions du Dr A.________, de sorte que l'intimée est fondée à nier le caractère de maladie professionnelle aux troubles annoncés par le recourant.</w:t>
      </w:r>
    </w:p>
    <w:p>
      <w:r>
        <w:rPr>
          <w:b/>
        </w:rPr>
        <w:t>E. 6</w:t>
      </w:r>
    </w:p>
    <w:p>
      <w:r>
        <w:t>Le recours, mal fondé, doit par conséquent être rejeté et la décision doit être confirmée. Il n’y a pas lieu de percevoir de frais judiciaires, la procédure étant gratuite (art. 61 let. a LPGA), ni d’allouer de dépens, dès lors que le recourant d’ailleurs non assisté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