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9/2017 vom 15. Mai 2017</w:t>
      </w:r>
    </w:p>
    <w:p>
      <w:r>
        <w:t>VD Tribunal cantonal, 2017-05-15, FR</w:t>
      </w:r>
    </w:p>
    <w:p>
      <w:r>
        <w:rPr>
          <w:b/>
        </w:rPr>
        <w:t xml:space="preserve">Quelle: </w:t>
      </w:r>
      <w:r>
        <w:t>https://mcp.opencaselaw.ch/entscheid/vd_findinfo_9_2017</w:t>
      </w:r>
    </w:p>
    <w:p>
      <w:r>
        <w:t>FR: VD_FINDINFO 9/2017 du 15 mai 2017</w:t>
      </w:r>
    </w:p>
    <w:p>
      <w:r>
        <w:t>IT: VD_FINDINFO 9/2017 del 15 maggio 2017</w:t>
      </w:r>
    </w:p>
    <w:p>
      <w:pPr>
        <w:pStyle w:val="Heading2"/>
      </w:pPr>
      <w:r>
        <w:t>Regeste</w:t>
      </w:r>
    </w:p>
    <w:p>
      <w:r>
        <w:t>PROCÉDURE DISCIPLINAIRE, CONFLIT D'INTÉRÊTS, RÉPRIMANDE | 12 let. a LLCA, 12 let. c LLCA</w:t>
      </w:r>
    </w:p>
    <w:p>
      <w:pPr>
        <w:pStyle w:val="Heading2"/>
      </w:pPr>
      <w:r>
        <w:t>Erwägungen</w:t>
      </w:r>
    </w:p>
    <w:p>
      <w:r>
        <w:rPr>
          <w:b/>
        </w:rPr>
        <w:t>E. 1</w:t>
      </w:r>
    </w:p>
    <w:p>
      <w:r>
        <w:t>La procédure de surveillance des avocats relève de la LLCA (loi fédérale sur la libre circulation des avocats du 23 juin 2000 ; RS 935.61) et de la LPAv (loi sur la profession d’avocat du 9 juin 2015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Aux termes de l’art. 16 LLCA, l'autorité de surveillance qui ouvre une procédure disciplinaire contre un avocat non inscrit dans le registre du canton doit en informer l'autorité de surveillance du canton au registre duquel l'avocat est inscrit (al. 1). Si elle envisage de prononcer une mesure disciplinaire, elle donne à l'autorité de surveillance du canton au registre duquel l'avocat est inscrit la possibilité de déposer ses observations sur le résultat de l'enquête (al. 2). Le résultat de la procédure doit être communiqué à l'autorité de surveillance du canton au registre duquel l'avocat est inscrit (al. 3).</w:t>
      </w:r>
    </w:p>
    <w:p>
      <w:r>
        <w:rPr>
          <w:b/>
        </w:rPr>
        <w:t>E. 2</w:t>
      </w:r>
    </w:p>
    <w:p>
      <w:r>
        <w:t>Me S.________ a en premier lieu été dénoncé par l’U.________ en raison des termes employés dans divers actes de procédure et jugés inadéquats par celle-ci.</w:t>
      </w:r>
    </w:p>
    <w:p>
      <w:r>
        <w:rPr>
          <w:b/>
        </w:rPr>
        <w:t>E. 2.1</w:t>
      </w:r>
    </w:p>
    <w:p>
      <w:r>
        <w:t>A teneur de l'art. 12 let. a LLCA, l'avocat est tenu d'exercer sa profession avec soin et diligence. Il doit observer certaines règles non seulement dans ses rapports avec ses clients, mais aussi à l’égard des autorités, de ses confrères, du public et de la partie adverse (ATF 130 II 270 consid. 3.2 ; TF 2C_177/2007 du 19 octobre 2007 ; TF 2A.191/2003 du 22 janvier 2004 ; TF 2A.448/2003 du 3 août 2004).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Berne 2009, n. 1165). L'avocat dispose d'une grande liberté pour critiquer l'administration de la justice et les autorités en général, tant qu'il le fait dans le cadre de la procédure, que ce soit dans ses mémoires ou à l'occasion de débats oraux (TF 2C_782/2015 du 19 janvier 2016 consid. 5.2 ; TF 2A.448/2003 du 3 août 2004, consid. 5 ; Bohnet/Martenet, op. cit., n. 1248). Il y a un intérêt public à ce qu'une procédure se déroule conformément aux exigences d'un Etat fondé sur le droit et, en fonction de cet intérêt public, l'avocat a le devoir et le droit de relever les anomalies et de dénoncer les vices de la procédure. Le prix à payer pour cette liberté de critiquer l'administration de la justice est qu'il faut s'accommoder de certaines exagérations (TF 2C_652/2014 du 24 décembre 2014 consid. 3.2 ; TF 2C_247/2014 du 26 novembre 2014 consid. 2.2). L'avocat agit contrairement à ses devoirs professionnels et, partant, de façon inadmissible, s'il formule des critiques de mauvaise foi ou dans une forme attentatoire à l'honneur, au lieu de se limiter à des allégations de fait et à des appréciations (TF 2C_782/2015 du 19 janvier 2016 consid. 5.2 ; Bohnet/Martenet, op. cit., n. 1253). Déterminer si l'avocat outrepasse les limites de la liberté dont il bénéficie dépend des circonstances d'espèce. Il convient d'être plus large avec les déclarations orales faites lors d'une audience animée que dans les écrits, qui supposent un plus grand recul face au litige (Bohnet/Martenet, op. cit., n. 1252).</w:t>
      </w:r>
    </w:p>
    <w:p>
      <w:r>
        <w:rPr>
          <w:b/>
        </w:rPr>
        <w:t>E. 2.2</w:t>
      </w:r>
    </w:p>
    <w:p>
      <w:r>
        <w:t>En l’espèce, force est de constater que les reproches adressés par Me  S.________ à l’U.________ ne dépassent pas la critique d’une autorité admissible de la part d’un avocat dans un cadre judiciaire. Me S.________ n’a ainsi pas pris à partie l’un des fonctionnaires de l’U.________ en particulier, n’a pas personnalisé le litige et s’est abstenu de mettre en cause la probité de cette autorité de manière générale. Il s’est contenté de critiquer l’attitude de l’U.________ dans le cadre des procédures concernant la Fondation L.________, en lui faisant grief de n’avoir pas produit, comme cela le lui avait été demandé, l’intégralité du dossier la concernant. Certains termes employés par Me S.________ s’avèrent certes mordants, en particulier dans la mesure où l’intéressé a accusé l’U.________ d’avoir menti et d’avoir, de manière illicite, cherché à dissimuler des pièces du dossier litigieux. Lors de son audition par le membre enquêteur, Me S.________ a d’ailleurs reconnu que ses propos étaient « forts », mais a précisé qu’il s’était permis de les tenir uniquement car l’U.________ n’avait pas donné suite à l’injonction du juge de produire certaines pièces dans le cadre de la procédure en cours. On ne saurait en définitive reprocher à l’intéressé d’avoir, de manière quelque peu polémique, cherché à attirer l’attention du juge sur l’attitude de l’U.________, ni d’avoir tiré argument de ses demandes répétées pour obtenir un dossier complet, afin de développer sa thèse selon laquelle cette autorité aurait agi de manière chicanière à l’égard de la Fondation L.________. Me S.________ n’a ainsi pas, par les propos dénoncés par l'U.________, porté atteinte à la dignité de la profession ni enfreint son obligation de diligence au sens de l’art. 12 let. a LLCA.</w:t>
      </w:r>
    </w:p>
    <w:p>
      <w:r>
        <w:rPr>
          <w:b/>
        </w:rPr>
        <w:t>E. 3</w:t>
      </w:r>
    </w:p>
    <w:p>
      <w:r>
        <w:t>Me S.________ a, en second lieu, été dénoncé en raison du risque de conflit d’intérêts existant dans le cadre de ses mandats pour le compte de la Fondation L.________.</w:t>
      </w:r>
    </w:p>
    <w:p>
      <w:r>
        <w:rPr>
          <w:b/>
        </w:rPr>
        <w:t>E. 3.1</w:t>
      </w:r>
    </w:p>
    <w:p>
      <w:r>
        <w:t>Parmi les règles professionnelles que doit respecter l'avocat, l'art. 12 let.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qui découle de l'obligation d'indépendance ainsi que du devoir de diligence de l'avocat (TF 2C_889/2008 du 21 juillet 2009 consid. 3.1.3 ; Bohnet/Martenet, op. cit., n. 1395).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consid. 2.5.2). Elle contribue ainsi également au respect par l'avocat de son secret professionnel (Grodecki/Jeandin, Approche critique de l'interdiction de postuler chez l'avocat aux prises avec un conflit d'intérêts, SJ 2015 II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 e siècle, Mélanges en l'honneur de Madame le Bâtonnier Dominique Burger, Genève 2008, p. 180, cité in Grodecki/Jeandin, op. cit., p. 111). Un conflit d'intérêts peut survenir dans trois situations : la double représentation simultanée, les mandats opposés qui se succèdent dans le temps et les intérêts propres de l'avocat (Chappuis, La profession d'avocat, tome I, 2013, pp. 88-89 ; Grodecki/Jeandin, op. cit., pp. 113-115). En effet, même si cela ne ressort pas explicitement du texte de l'art. 12 let. c LLCA, il est incontesté que cette disposition doit aussi éviter les conflits entre les propres intérêts de l'avocat et ceux de son client (TF 2C_889/2008 précité, consid. 3.1.3 ; TF 2P.318/2006 du 27 juillet 2007 consid. 11.1). Devant défendre les intérêts de ce dernier, l'avocat doit en particulier veiller à ne pas se laisser influencer par ses intérêts personnels, notamment financiers, commerciaux, contractuels ou familiaux, ou professionnels. Il doit refuser une cause dans laquelle ses intérêts propres sont en jeu (Bohnet/Martenet, op. cit., n. 1449 ; Grodecki/Jeandin, op. cit., p. 115). Il n’y a pas lieu d’opérer une distinction entre les conflits d’intérêts pouvant survenir dans le domaine du conseil ou de la représentation en justice, dès lors que les règles professionnelles s’imposent à l’avocat pour l’ensemble de son activité (Valticos, in : Valticos et al. [éd.], Commentaire romand de la loi sur les avocats, Bâle 2009, n. 154 ad art. 12 LLCA ; cf. TF 2A.310/2006 du 21 novembre 2006 consid. 6.2). Ainsi, il peut exister un conflit entre les intérêts du mandant et ceux de l’avocat lorsque ce dernier est impliqué dans le litige par exemple en sa qualité d’administrateur d’une société (Bohnet/Martenet, op. cit., nn. 1457 et 3519-3520). Un risque théorique et abstrait de conflit d'intérêts ne suffit pas : le risque doit être concret (ATF 135 II 145 consid. 9.1 ; ATF 134 II 108 consid. 4.2). Le conflit d'intérêts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 Pichonnaz/Werro [éd.], La pratique contractuelle, 2012, p. 85).</w:t>
      </w:r>
    </w:p>
    <w:p>
      <w:r>
        <w:rPr>
          <w:b/>
        </w:rPr>
        <w:t>E. 3.2</w:t>
      </w:r>
    </w:p>
    <w:p>
      <w:r>
        <w:t>En l’espèce, aucun risque de conflit d’intérêts n’apparaît dans la procédure GE.2015.0063, dans laquelle Me S.________ est intervenu pour le compte de la Fondation L.________. En effet, on ne voit pas dans quelle mesure les intérêts des membres du Conseil de fondation, de la Fondation L.________ elle-même et de Me  S.________ auraient alors pu diverger, même si l’U.________ a indiqué, dans son courrier du 25 février 2015, qu’elle entendait adresser une commination à titre de l’art. 292 CP aux membres du Conseil de fondation si les documents réclamés ne lui étaient pas transmis dans le délai imparti. Il en va de même s’agissant de la procédure GE.2015.0120, pour laquelle Me S.________ a agi en qualité de mandataire de la Fondation L.________ afin de dénoncer un déni de justice. Dans cette configuration également, aucun risque de conflit d’intérêts ne peut être décelé. Le mandat accepté par Me S.________ pour le compte de la Fondation L.________, afin de recourir contre la décision de l’U.________ du 16 novembre 2015 – cette démarche ayant abouti à l’arrêt du 30 mai 2016, rendu par la CDAP dans la procédure GE.2015.0227 –, ne prête pas davantage le flanc à la critique. On ne voit pas, en l’occurrence, en quoi les intérêts de l’intéressé auraient pu, eu égard à sa qualité d’avocat et de membre du Conseil de fondation, entrer en conflit avec ceux de la Fondation L.________, qui souhaitait obtenir une modification de ses statuts en vue d’étendre ses activités hors des frontières cantonales. En revanche, le mandat conduit par Me S.________ afin de déposer la requête du 23 mai 2016 en restitution de l’effet suspensif et de recourir auprès de la CDAP contre la décision de l’U.________ du 17 mai 2016 s’avère problématique à plusieurs égards. L’intéressé a alors agi au nom de la Fondation L.________ ainsi qu’au nom des membres du Conseil de fondation à titre individuel. Or, dans sa décision du 17 mai 2016, l’U.________ mettait précisément en cause les membres du Conseil de fondation, en leur reprochant notamment d’avoir attribué des fonds en violation des buts de la fondation, d’avoir négligé la tenue de ses affaires et notamment de sa comptabilité, d’avoir engagé des frais excessifs pour l’entretien du parc immobilier et du parc de véhicules de la fondation, ou d’avoir prélevé divers montants sur les comptes de la fondation sans en documenter l’affectation. L’U.________ a en outre directement incriminé le comportement des membres du Conseil de fondation, en leur reprochant d’avoir indûment bénéficié de certaines prestations ou d’avoir perçu des rémunérations à titre d’honoraires ou de salaire. Elle a d’ailleurs dénoncé, le 17 mai 2016, les membres dudit Conseil auprès du Ministère public de l’arrondissement de Lausanne, en faisant état de soupçons de gestion déloyale au préjudice de la Fondation L.________. Au vu de ce qui précède, il existait manifestement un risque concret de conflit entre les intérêts de la Fondation L.________ et ceux des membres du Conseil de fondation, dont l'honnêteté était directement contestée. Ainsi, dès lors que la probité du Conseil de fondation était mise en cause par l’U.________, l’intérêt de la Fondation L.________ était de permettre à l’autorité de surveillance d’identifier d’éventuels disfonctionnements ou actes de gestion illicites, en laissant un commissaire procéder aux vérifications idoines et en suspendant les pouvoirs de représentation des membres du Conseil de fondation. A l’inverse, lesdits membres disposaient d’un intérêt évident à éviter qu’un commissaire ne vérifie de manière systématique la gestion et la comptabilité de la Fondation L.________, procédure à l’issue de laquelle auraient pu apparaître d’éventuels actes illicites, ou de simples erreurs de gestion. De manière plus générale, les membres du Conseil de fondation avaient intérêt à se disculper et à prouver qu’ils avaient géré et administré la fondation avec diligence et dans un strict cadre légal, tandis que la Fondation L.________ avait intérêt à ce que la lumière soit faite sur sa gestion, afin que d’éventuels actes illicites, voire constitutifs d’infractions pénales, soient mis en lumière. A plus forte raison, à supposer qu’un dommage ait été causé à la Fondation L.________ par un acte illicite ou une faute quelconque du Conseil de fondation ou de l’un de ses membres, la première aurait eu intérêt à ce que le ou les intéressés réparent ce dommage en vertu de leur responsabilité contractuelle (cf. Vez, in : Pichonnaz/Foëx [éd.], Commentaire romand du Code civil I, Bâle 2010, nn. 34 ss ad art. 83 CC), tandis que les membres du Conseil de fondation auraient eu, à titre individuel ou collectif, un intérêt exactement opposé. Il convient de préciser que le risque de conflit d'intérêts en question découlait directement du contenu de la décision du 17 mai 2016. Les intérêts de la Fondation L.________ et ceux des membres du Conseil de fondation pouvaient ainsi s'avérer contradictoires par le seul fait que la décision en question était contestée, indépendamment des conclusions prises dans le cadre du recours et de la tournure que pouvait prendre la procédure. Partant, Me S.________ aurait dû reconnaître le risque concret de conflit d’intérêts qui résultait de la double représentation de la Fondation L.________ et des membres du Conseil de cette fondation. En acceptant ce mandat et en déposant en particulier les procédures des 23 et 26 mai 2016 auprès de la CDAP, il a violé son obligation professionnelle d’éviter tout conflit d’intérêts. De surcroît, dans le même complexe de faits, Me S.________ a ignoré le risque concret de conflit d’intérêts qui résultait de son appartenance au Conseil de fondation. En effet, l’intéressé était, en cette qualité, directement visé par la décision de l’U.________ du 17 mai 2016, laquelle faisait état de soupçons de gestion déloyale et d’irrégularités dans la gestion et la tenue de la comptabilité de la fondation, sans incriminer l’un des membres du Conseil de la Fondation L.________ en particulier. Ainsi, au vu des mises en cause sérieuses ressortant de la décision du 17 mai 2016, les intérêts propres de Me S.________ étaient manifestement en jeu dans le cadre des procédures ouvertes les 23 et 26 mai 2016. Il importe peu, à cet égard, que l’U.________ n’ait jamais expressément questionné la probité de l’intéressé, ni que celui-ci n’ait jamais disposé d’une signature pour le compte de la Fondation L.________. De même, le fait que Me S.________ ait indiqué qu’il n’était pas actif dans la gestion courante de la fondation et qu’il se contentait de participer aux réunions du Conseil ne saurait écarter tout risque concret de conflit d’intérêts. Il suffit en effet que Me S.________ ait eu un intérêt personnel à éviter que sa responsabilité contractuelle, voire pénale, découlant de sa qualité de membre du Conseil de fondation, puisse être engagée à l’issue de l’audit ordonné le 17 mai 2016 par l’U.________. On relèvera encore que si, comme le soutient Me  S.________, la gestion courante de la Fondation L.________ était assurée par les autres membres du Conseil de fondation, ses intérêts – notamment celui de se voir mis hors de cause s’agissant d’éventuels actes de gestion critiquables – pouvaient en outre entrer en conflit avec ceux de l’un ou l’autre desdits membres, qui pouvait chercher à éluder ou diluer sa propre responsabilité concernant la gestion de la fondation. Il convient enfin de relever que, contrairement à ce que soutient Me  S.________, le fait qu’il ait finalement retiré le recours interjeté le 26 mai 2016 devant la CDAP n’exclut pas une violation de ses devoirs professionnels. En effet, l’avocat doit, avant d’accepter un mandat, s’assurer avec un soin particulier de l’absence de risque de conflit entre ses propres intérêts et ceux de son mandant. Il devra refuser le mandat s’il apparaît que ses intérêts personnels entrent potentiellement en jeu dans le litige (cf. Bohnet/Martenet, op. cit., n. 1450). Eu égard à son appartenance au Conseil de fondation et à la nature de la décision du 17 mai 2016, Me  S.________ n’aurait ainsi pas dû accepter de se charger du mandat litigieux. Aussi, en représentant le Conseil de fondation, respectivement ses membres, alors qu’il faisait lui-même partie de cet organe, Me  S.________ a également enfreint son obligation professionnelle d’éviter tout conflit d’intérêts.</w:t>
      </w:r>
    </w:p>
    <w:p>
      <w:r>
        <w:rPr>
          <w:b/>
        </w:rPr>
        <w:t>E. 4.1</w:t>
      </w:r>
    </w:p>
    <w:p>
      <w:r>
        <w:t>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(TF 2C_448/2014 du 5 novembre 2014, consid. 4.2). Le droit disciplinaire est soumis au principe de proportionnalité (ATF 108 Ia 230, JdT 1984 I 21 ; Bohnet/Martenet, op. cit., n. 2178 et les références citées ;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L'autorité de surveillance dispose d'une certaine marge d'appréciation : elle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(Bauer/Bauer, in : Valticos et al. [éd.], op. cit., nn. 17-18 ad 17 LLCA).</w:t>
      </w:r>
    </w:p>
    <w:p>
      <w:r>
        <w:rPr>
          <w:b/>
        </w:rPr>
        <w:t>E. 4.2</w:t>
      </w:r>
    </w:p>
    <w:p>
      <w:r>
        <w:t>En l’espèce, Me S.________ a accepté et conduit un mandat pour le compte de la Fondation L.________ et des membres du Conseil de fondation en violation de l'interdiction de plaider en cas de conflit d'intérêts prévue à l’art. 12 let. c LLCA. Lors de son audition par le membre enquêteur, Me S.________ a expliqué qu’après s’être chargé des affaires de la Fondation L.________ à l’égard de l’U.________, en 2014, il aurait tenté de désamorcer une situation déjà litigieuse. Les relations entre la fondation et l’autorité concernée se seraient néanmoins détériorées lorsque Me S.________ a cherché à consulter le dossier constitué par l’U.________. La Fondation L.________ aurait donc résolu de saisir la justice afin de faire pièce à une « autorité particulièrement virulente et fermée à [s]es demandes ». Me  S.________ a précisé qu’au vu du « contexte difficile » existant alors, il s’était interrogé sur l'existence d'un éventuel risque de conflit d’intérêts, avant de l’écarter. Il apparaît effectivement, à la lecture du dossier, que la Fondation L.________ a entretenu, depuis le début de l’année 2015 à tout le moins, des relations régulières et parfois conflictuelles avec l’U.________. Elle a ainsi agi à plusieurs reprises auprès de la CDAP afin de contester les décisions de cette autorité. L’U.________ n’a quant à elle pas hésité à interjeter un recours – finalement déclaré irrecevable à défaut d’intérêt digne de protection et de qualité pour recourir – auprès du Tribunal fédéral, après que la Fondation L.________ eut obtenu gain de cause devant la CDAP s’agissant du refus de modification de ses statuts. Ainsi, c’est après avoir agi à plusieurs reprises pour le compte de la Fondation L.________ sans que ses propres intérêts n’entrent en jeu que Me  S.________ a accepté le mandat litigieux et qu’il a ouvert des procédures qui le concernaient également directement et pour lesquelles il n’aurait pas dû postuler. En définitive, au vu du risque de conflit d’intérêts manifeste qu’a entraîné l’intervention de Me  S.________ dans le cadre des procédures ouvertes ensuite de la décision de l’U.________ du 17 mai 2016, d’une part, du contexte particulier dans lequel l’intéressé a accepté ce mandat et de l'absence d’antécédents disciplinaires, d’autre part, la sanction disciplinaire de l’avertissement apparaît suffisante pour lui faire adopter, à l’avenir, un comportement conforme aux règles de la profession d’avocat. Ainsi, au regard de l'ensemble des circonstances de la cause, la Chambre de céans prononcera un avertissement contre Me  S.________ afin de sanctionner son comportement.</w:t>
      </w:r>
    </w:p>
    <w:p>
      <w:r>
        <w:rPr>
          <w:b/>
        </w:rPr>
        <w:t>E. 5</w:t>
      </w:r>
    </w:p>
    <w:p>
      <w:r>
        <w:t>Les frais de la cause, comprenant un émolument, ainsi que les frais d’enquête, par 583 fr., sont arrêtés à 1’500 fr. et mis à la charge de Me  S.________ (art. 59 al. 1 LPAv). Par ces motifs, la Chambre des avocats, statuant à huis clos : I. Prononce contre l'avocat S.________ la peine disciplinaire de l'avertissement. II. Dit que les frais de la cause, par 1'500 fr. (mille cinq cents francs), sont mis à la charge de S.________. III. Dit que la décision est exécutoire. La présidente :               Le greffier : Du La décision qui précède, lue et approuvée à huis clos, est notifiée à : - Me François Gillard, avocat (pour Me S.________). Toute décision de la Chambre des avocats peut faire l'objet d'un recours au Tribunal cantonal dans les trente jours dès sa communication ou sa notification. Le recours est exercé conformément à la loi sur la procédure administrative (art. 65 al. 2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