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970 vom 20. Dezember 2022</w:t>
      </w:r>
    </w:p>
    <w:p>
      <w:r>
        <w:t>VD Tribunal cantonal, 2022-12-20, FR</w:t>
      </w:r>
    </w:p>
    <w:p>
      <w:r>
        <w:rPr>
          <w:b/>
        </w:rPr>
        <w:t xml:space="preserve">Quelle: </w:t>
      </w:r>
      <w:r>
        <w:t>https://mcp.opencaselaw.ch/entscheid/vd_findinfo_970___________</w:t>
      </w:r>
    </w:p>
    <w:p>
      <w:r>
        <w:t>FR: VD_FINDINFO 970 du 20 décembre 2022</w:t>
      </w:r>
    </w:p>
    <w:p>
      <w:r>
        <w:t>IT: VD_FINDINFO 970 del 20 dicembre 2022</w:t>
      </w:r>
    </w:p>
    <w:p>
      <w:pPr>
        <w:pStyle w:val="Heading2"/>
      </w:pPr>
      <w:r>
        <w:t>Regeste</w:t>
      </w:r>
    </w:p>
    <w:p>
      <w:r>
        <w:t>ORDONNANCE DE NON-ENTRÉE EN MATIÈRE, CONTRAINTE{DROIT PÉNAL} | 181 CP, 310 CPP (CH)</w:t>
      </w:r>
    </w:p>
    <w:p>
      <w:pPr>
        <w:pStyle w:val="Heading2"/>
      </w:pPr>
      <w:r>
        <w:t>Erwägungen</w:t>
      </w:r>
    </w:p>
    <w:p>
      <w:r>
        <w:rPr>
          <w:b/>
        </w:rPr>
        <w:t>E. 1</w:t>
      </w:r>
    </w:p>
    <w:p>
      <w:r>
        <w:t>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et 285 consid. 2.3 ; TF 6B_196/2020 du 14 octobre 2020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w:t>
      </w:r>
    </w:p>
    <w:p>
      <w:r>
        <w:rPr>
          <w:b/>
        </w:rPr>
        <w:t>E. 2.3</w:t>
      </w:r>
    </w:p>
    <w:p>
      <w:r>
        <w:t>et 2.4). Au vu de ce qui précède, la recourante ne rend pas vraisemblable que le moyen juridique invoqué par sa cocontractante dans le cadre de l’exécution du contrat d’entreprise qui la liait à celle-ci – tiré à première vue de l’exception non adimpleti contractus – était illicite, ni qu’il la menaçait d’un dommage sérieux. Comme retenu par le Ministère public et quoiqu’en pense la recourante, il s’agit d’un litige de nature exclusivement civile. Le fait que V.________ soit le bailleur du gérant de X.________Sàrl et de sa famille n’y change rien. Pour le surplus, comme la recourante l’expose elle-même, A.________ Sàrl a utilisé « les moyens habituels pour recouvrir des créances (commandement de payer, etc.) », de sorte que la poursuite engagée à son encontre pour le non-paiement de la facture du 27 février 2021 ne saurait pas non plus être qualifiée d’abusive ou illicite. Du reste, comme déjà dit, la recourante ne conteste pas qu’elle doit la somme de 9'130 fr. à A.________ Sàrl et n’a pas fait opposition au commandement de payer. Dès lors que les faits visés n’étaient manifestement pas punissables, c’est à bon droit que le Ministère public n’est pas entré en matière sur la plainte pénale déposée par X.________Sàrl.</w:t>
      </w:r>
    </w:p>
    <w:p>
      <w:r>
        <w:rPr>
          <w:b/>
        </w:rPr>
        <w:t>E. 3.1</w:t>
      </w:r>
    </w:p>
    <w:p>
      <w:r>
        <w:t>La recourante soutient qu’il existe des soupçons concrets qui montrent que les époux S.________ ont utilisé un moyen de pression abusif ou illicite pour tenter d’obtenir le paiement du solde de la facture du 27 février 2021 et ainsi commis une contrainte ou une tentative de contrainte vis-à-vis d’elle. Elle expose que la garantie contractuelle de la pergola déployait ses effets indépendamment du paiement du solde de la facture, de sorte qu’A.________ Sàrl ne pouvait pas refuser d’intervenir pour remédier aux défauts, que dite société a exercé une contrainte sur elle en l’obligeant à payer la somme de 538 fr. 50, laquelle n’a par ailleurs pas été déduite du montant de 9'310 fr., et que le Ministère public n’a pas pris en compte le fait que V.________ était le bailleur de son gérant Z.________ qui était donc la « partie faible ».</w:t>
      </w:r>
    </w:p>
    <w:p>
      <w:r>
        <w:rPr>
          <w:b/>
        </w:rPr>
        <w:t>E. 3.2</w:t>
      </w:r>
    </w:p>
    <w:p>
      <w:r>
        <w:t>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 TF 6B_1407/2022 du 7 novembre 2022 consid. 2.1).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6B_1100/2018 du 17 décembre 2018 consid. 3.3).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rPr>
          <w:b/>
        </w:rPr>
        <w:t>E. 3.3</w:t>
      </w:r>
    </w:p>
    <w:p>
      <w:r>
        <w:t>En l’espèce, il n’appartient pas aux autorités de poursuite pénale de déterminer si la société A.________ Sàrl était fondée ou pas, du point de vue juridique, à refuser d’intervenir en garantie aussi longtemps qu’elle n’avait pas été entièrement payée. Au demeurant, la recourante ne conteste pas qu’elle était en demeure de s’acquitter du solde du prix de l’ouvrage, alors que celui-ci avait été livré. Il est vrai que, si l’ouvrage livré est défectueux, le maître dispose du droit de réduire le prix en proportion de la moins-value (art. 368 al. 2 CO) ; ce droit permet au maître de modifier unilatéralement le contrat : il accepte l’ouvrage dans l’état où il a été livré, mais, en même temps, il en réduit le prix pour l’adapter à sa valeur nouvelle. Toutefois, le maître ne peut pas – simultanément – exiger la réfection de l’ouvrage prétendument défectueux (ATF 136 III 273 consid. 2.2). Il s’ensuit en l’espèce qu’ayant exercé de manière irrévocable l’action en réfection de l’ouvrage, la recourante ne pouvait pas exercer l’action minutoire ; ce n’est qu’en cas d’inexécution infondée de l’obligation de réfection incombant à l’entrepreneur que le maître peut, à certaines conditions, à nouveau opter pour les voies ouvertes par l’art. 368 CO et résilier le contrat d’entreprise ou demander une diminution de prix (ATF 136 III 273 consid.</w:t>
      </w:r>
    </w:p>
    <w:p>
      <w:r>
        <w:rPr>
          <w:b/>
        </w:rPr>
        <w:t>E. 4</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29 novembre 2022 est confirmée. III. Les frais d’arrêt, par 880 fr. (huit cent huitante francs), sont mis à la charge de X.________Sàrl. IV. L’arrêt est exécutoire. La présidente : La greffière : Du Le présent arrêt, dont la rédaction a été approuvée à huis clos, est notifié, par l'envoi d'une copie complète, à : - Me Andrea E. Rusca, avocat (pour X.________Sàrl), - Ministère public central, et communiqué à : - Mme la Procureure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