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951 vom 21. November 2023</w:t>
      </w:r>
    </w:p>
    <w:p>
      <w:r>
        <w:t>VD Tribunal cantonal, 2023-11-21, FR</w:t>
      </w:r>
    </w:p>
    <w:p>
      <w:r>
        <w:rPr>
          <w:b/>
        </w:rPr>
        <w:t xml:space="preserve">Quelle: </w:t>
      </w:r>
      <w:r>
        <w:t>https://mcp.opencaselaw.ch/entscheid/vd_findinfo_951___________</w:t>
      </w:r>
    </w:p>
    <w:p>
      <w:r>
        <w:t>FR: VD_FINDINFO 951 du 21 novembre 2023</w:t>
      </w:r>
    </w:p>
    <w:p>
      <w:r>
        <w:t>IT: VD_FINDINFO 951 del 21 novembre 2023</w:t>
      </w:r>
    </w:p>
    <w:p>
      <w:pPr>
        <w:pStyle w:val="Heading2"/>
      </w:pPr>
      <w:r>
        <w:t>Regeste</w:t>
      </w:r>
    </w:p>
    <w:p>
      <w:r>
        <w:t>DÉTENTION PROVISOIRE, PROLONGATION, SOUPÇON, RISQUE DE FUITE, RISQUE DE COLLUSION, REJET DE LA DEMANDE | 221 CPP (CH)</w:t>
      </w:r>
    </w:p>
    <w:p>
      <w:pPr>
        <w:pStyle w:val="Heading2"/>
      </w:pPr>
      <w:r>
        <w:t>Erwägungen</w:t>
      </w:r>
    </w:p>
    <w:p>
      <w:r>
        <w:rPr>
          <w:b/>
        </w:rPr>
        <w:t>E. 1.1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Un seul des risques de fuite, de collusion ou de récidive suffit pour justifier le maintien en détention provisoire (TF 1B_160/2018 du 19 avril 2018 consid. 3.3 ; TF 1B_242/2016 du 21 juillet 2016 consid. 5). A l’expiration de la durée de la détention provisoire fixée par le tribunal des mesures de contrainte, le ministère public peut demander la prolongation de la détention (art. 227 al. 1 CPP).</w:t>
      </w:r>
    </w:p>
    <w:p>
      <w:r>
        <w:rPr>
          <w:b/>
        </w:rPr>
        <w:t>E. 3.1</w:t>
      </w:r>
    </w:p>
    <w:p>
      <w:r>
        <w:t>Le recourant invoque que cela fait plus de six mois qu’il est incarcéré et que les soupçons à son encontre ne se renforcent pas, au contraire. Il affirme que les faits reprochés reposent exclusivement sur les déclarations faites par les prétendues victimes, en particulier celles de I.________. Or, selon lui, ces mises en cause n’ont pas pu être confirmées, les victimes n’ayant pas donné suite aux convocations du Ministère public, relevant en outre qu’aucune plainte n’avait été déposée. Il prétend ensuite qu’il existe diverses contradictions dans les déclarations de I.________, notamment au sujet de l’impossibilité qu’elle aurait eu de communiquer avec l’extérieur ; il affirme qu’en réalité les victimes avaient volontairement choisi d’exercer la prostitution, mais qu’elles avaient ensuite décidé de l’incriminer pour se déresponsabiliser. S’agissant du témoignage de O.________, selon lequel « un homme de couleur noir » détenait les clés de l’appartement dans lequel il se rendait pour une prestation, le recourant le considère insuffisant pour l’incriminer puisque d’autres individus impliqués dans l’enquête sont également de couleur et que le témoin n’avait pas été en mesure de le reconnaitre sur la planche photographique.</w:t>
      </w:r>
    </w:p>
    <w:p>
      <w:r>
        <w:rPr>
          <w:b/>
        </w:rPr>
        <w:t>E. 3.2</w:t>
      </w:r>
    </w:p>
    <w:p>
      <w:r>
        <w:t>Selon l'art. 221 al. 1 CPP, il doit exister des charges suffisantes, soit de sérieux soupçons de culpabilité à l'égard de l'intéressé, c'est-à-dire des raisons plausibles de le soupçonner d'avoir commis une infraction (ATF 143 IV 168 consid. 2).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Il n'appartient pas non plus au juge de la détention de résoudre définitivement les questions de qualification juridique des faits poursuivis (ATF 137 IV 122 consid. 3.2) ou de résoudre des questions juridiques complexes (ATF 141 IV 360 consid. 3.2 ; TF 1B_211/2017 du 27 juin 2017 consid. 2.1).</w:t>
      </w:r>
    </w:p>
    <w:p>
      <w:r>
        <w:rPr>
          <w:b/>
        </w:rPr>
        <w:t>E. 3.3</w:t>
      </w:r>
    </w:p>
    <w:p>
      <w:r>
        <w:t>En l’espèce, comme l’a relevé le Tribunal des mesures de contrainte, les éléments retenus dans ses précédentes ordonnances des 13 mai et 2 août 2023 pour retenir l’existence de soupçons suffisants justifiant la détention restent toujours d’actualité. Depuis lors, les auditions de X.________ (PV aud. 10 et 12), de N.________ ( PV aud. 13, R. 34 et PV aud. 14, R. 11) et de O.________ (PV aud. 15, R. 21) ont permis de confirmer les soupçons à l’égard de l’intéressé. Au surplus, les deux jeunes filles qui ont été amenées les 10 et 11 mai 2023 de [...] à [...] en vue de se prostituer pour le compte du recourant, à savoir P.________, née le [...] 2006, et D.________, née le [...] 2006, ont confirmé le modus operandi du recourant (cf. PV aud. 4, R. 10, 16 et 27 ; PV aud. 5 R 8 : « vous me demandez si elles [ndr : P.________, N.________ et I.________] se prostituent pour le compte de quelqu’un. Si j’ai bien compris de ce que P.________ m’a expliqué, elles doivent payer le trajet de [...] en Suisse, qui coûte 250 francs. Elles paient aussi 150 fr. pour le site internet. Quand elles commencent à avoir des clients, les filles gagnent 100 fr. et donne 50 francs à [...] [ndr : le recourant B.________] qui met les annonces »). A ce stade, il n’y a pas de raison de douter des déclarations de ces deux mineures, en particulier sur l’implication du recourant dans les faits d’encouragement à la prostitution qui lui sont reprochés. En outre, on ne peut suivre le recourant lorsqu’il affirme que les soupçons reposeraient exclusivement sur les déclarations des prétendues victimes. En effet, l’analyse faite par la police sur les téléphones portables découverts dans la chambre d’hôtel où le recourant a été interpellé ont permis de découvrir une image datée du 5 avril 2023 sur laquelle apparaîtrait une fille dans un véhicule ainsi qu’un message disant « tqt elle est avec nous jusqu’à que [...] viens la chercher !! on surveille le business » (PV aud. 13, R. 51). Un autre téléphone contiendrait également une conversation durant laquelle les interlocuteurs se tiennent au courant des heures de rendez-vous, du temps passé avec les clients, des prestations et de l’argent encaissé (PV aud. 13, R. 56) ainsi qu’une conversation entre N.________ et le recourant dans laquelle elle lui aurait dit qu’il fallait qu’il mette la pression sur un client car « il lui demandait trop de choses » (PV aud. 14, R. 32), étant précisé que l’un des appareils comporterait un message envoyé juste avant l’interpellation des protagonistes par la police, indiquant qu’il fallait qu’[...] quitte les lieux (PV aud. 13, R. 58). Par ailleurs, c’est en vain que le recourant invoque des incohérences dans les déclarations de I.________ au sujet du fait qu’elle aurait été privée de communication avec l’extérieur lorsqu’elle exerçait la prostitution à [...] : certes, elle a déclaré que le recourant lui avait pris sa carte SIM, mais elle a aussi précisé qu’il la lui avait rendue trois semaines plus tard lorsqu’elle avait réussi à gagner sa confiance (cf. rapport d’investigation de la Police de sûreté du 11 mai 2023, p. 12) ; quant au fait que le recourant aurait exercé une mission de travail temporaire en février et mars 2023, il n’empêche pas que les faits dénoncés par I.________ aient pu se produire : d’abord, celle-ci a déclaré qu’elle était arrivée à Genève le 6 mars 2023, et était restée durant six semaines dans un appartement, d’une part, et que le recourant était secondé par N.________ ainsi que par trois autres personnes « dans le réseau », d’autre part (cf. rapport précité, p. 12). Enfin, le fait qu’un client de N.________ ait indiqué que, lorsqu’il était venu à l’appartement qu’elle occupait à [...] au début de l’année 2023, elle n’avait pas les clés pour l’ouvrir et que c’est un homme de couleur qui a baissé la tête « comme s’il ne voulait pas que l’on voie son visage » qui les lui a apportées, il ne permet pas à lui seul d’incriminer le recourant, mais il ne permet pas non plus de le disculper, étant rappelé que N.________ et le recourant admettent tous deux qu’ils sont en couple au moins depuis la sortie de prison du recourant en octobre 2022, d’une part, et que ledit client a alors pensé qu’ils « étaient ensemble ou travaillaient ensemble », d’autre part (cf. PV aud. 15 R. 21). En conclusion, il existe bien des indices suffisants que le recourant ait commis l’infraction de traite des êtres humains, subsidiairement celle d’encouragement à la prostitution au sens des art. 182 al. 1 et 2 et 195 al. 1 let. a, c et de CP. Au surplus, le recourant ne conteste pas les cas 2, 3, 4 et 5 mentionnés dans la demande de prolongation du Ministère public du 24 octobre 2023. Il existe donc également des indices de commission de ces infractions (art. 139, 144, 149, 22 al. 1 ad 285, 22 al. 1 ad 123 ch. 1 al. 1 CP ; 90 al. 1, 91 al. 2 let. b, 93 al. 2 let. a et 95 al. 1 let. b LCR ; 19a ch. 1 LStup).</w:t>
      </w:r>
    </w:p>
    <w:p>
      <w:r>
        <w:rPr>
          <w:b/>
        </w:rPr>
        <w:t>E. 4.1</w:t>
      </w:r>
    </w:p>
    <w:p>
      <w:r>
        <w:t>Le recourant conteste l’existence d’un risque de fuite, des mesures de substitution telles que l’obligation de se tenir à disposition des autorités de poursuite pénale et le dépôt de ses titres d’identité étant, selon lui, parfaitement à même de palier ce prétendu risque.</w:t>
      </w:r>
    </w:p>
    <w:p>
      <w:r>
        <w:rPr>
          <w:b/>
        </w:rPr>
        <w:t>E. 4.2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ATF 143 IV 160 consid. 4.3, JdT 2018 IV 3 ; TF 1B_124/2021 du 12 avril 2021 consid. 5 ; TF 1B_549/2020 du 9 novembre 2020 consid. 3.1). Le risque de fuite s'étend également au risque de se soustraire à la procédure pénale ou à la sanction prévisible en tombant dans la clandestinité à l'intérieur du pays (ATF 143 IV 160 consid. 4.3 ; TF 1B_549/2020 du 9 novembre 2020).</w:t>
      </w:r>
    </w:p>
    <w:p>
      <w:r>
        <w:rPr>
          <w:b/>
        </w:rPr>
        <w:t>E. 4.3</w:t>
      </w:r>
    </w:p>
    <w:p>
      <w:r>
        <w:t>En l’espèce, le Tribunal des mesures de contrainte a déjà considéré, dans son ordonnance de mise en détention du 13 mai 2023, que le recourant présentait un risque de fuite hautement vraisemblable, relevant qu’il était ressortissant français habitant la France et sans aucun lien avec la Suisse et rappelant que la France n’extradait pas ses ressortissants. Tant dans son ordonnance de prolongation de la détention du 2 août 2023 que dans l’ordonnance objet de la présente procédure, le tribunal a jugé ce risque comme sérieux et concret en l’absence d’élément nouveau de nature à remettre en cause les appréciations opérées dans l’ordonnance de mise en détention du 13 mai 2023. Cette appréciation ne prête pas le flanc à la critique et doit être confirmée. Au demeurant le recourant n’invoque aucun élément susceptible de remettre en cause le raisonnement du premier juge à cet égard, de sorte qu’il est douteux que sa contestation remplisse les conditions de recevabilité posées par l’art. 385 al. 1 CPP. En réalité, il se contente de procéder par affirmation. Comme on le verra ci-dessous (cf. consid. 5.3 infra), les mesures de substitution proposées ne sont pas à même de palier ce risque contrairement à ce que soutient le recourant.</w:t>
      </w:r>
    </w:p>
    <w:p>
      <w:r>
        <w:rPr>
          <w:b/>
        </w:rPr>
        <w:t>E. 4.4</w:t>
      </w:r>
    </w:p>
    <w:p>
      <w:r>
        <w:t>Dès lors que les conditions posées par l’art. 221 al. 1 CPP sont alternatives (TF 1B_91/2021 du 10 mars 2021 consid. 4.2), il n’est pas nécessaire d’examiner s’il existe en plus un risque de collusion.</w:t>
      </w:r>
    </w:p>
    <w:p>
      <w:r>
        <w:rPr>
          <w:b/>
        </w:rPr>
        <w:t>E. 5.1</w:t>
      </w:r>
    </w:p>
    <w:p>
      <w:r>
        <w:t>A titre subsidiaire, le recourant a conclu, en lieu et place de la détention provisoire, au prononcé de mesures de substitution à forme de la saisie de ses documents d’identité, de l’obligation de se présenter régulièrement à un service administratif – dont le libre choix de celui-ci, de même que de la fréquence, étaient laissés à l’appréciation de l’autorité de céans –, et de l’interdiction stricte de toute prise de contact avec les victimes.</w:t>
      </w:r>
    </w:p>
    <w:p>
      <w:r>
        <w:rPr>
          <w:b/>
        </w:rPr>
        <w:t>E. 5.2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En présence d'un risque de fuite évident, une saisie des documents d'identité et une assignation à résidence – même assorties du port du bracelet électronique – ne sont pas des mesures propres à pallier un risque de fuite. En effet, notamment en l'absence de contrôle d'identité aux frontières dans l'espace Schengen, ces mesures n'empêchent nullement le départ par voie terrestre à l'étranger ou le passage dans la clandestinité (ATF 145 IV 503 consid. 3.2 et 3.3.2 ; TF 7B_464/2023 du 11 septembre 2023 consid. 5.2 ; TF 1B_383/2020 du 13 août 2020 consid. 5.2). S'agissant plus particulièrement du dépôt des pièces d'identité, la mesure est sans effet en ce qui concerne les documents établis par un Etat étranger, les autorités suisses n’étant pas habilitées à empêcher les autorités étrangères d’établir de nouveaux documents officiels (TF 1B_168/2020 du 28 avril 2020 consid. 3.4).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5.3</w:t>
      </w:r>
    </w:p>
    <w:p>
      <w:r>
        <w:t>En l’espèce, le recourant se contente, à nouveau, de procéder par affirmation, sans essayer de démontrer en quoi les mesures proposées seraient de nature à éviter qu’il ne fuie en France. Sa contestation ne remplit ainsi pas les réquisits posés par l’art. 385 al. 1 CPP et la jurisprudence y relative. Au demeurant, pour les motifs retenus dans les précédentes ordonnances, il est évident que le dépôt de ses papiers d’identité et l’obligation de se présenter régulièrement auprès d’un service administratif ne présenteraient aucune garantie suffisante. Ils ne permettraient tout au plus que de constater a posteriori que le recourant a franchi la frontière entre la France et la Suisse. Partant, il n’existe aucune mesure de substitution qui permettrait de pallier le risque de fuite que le recourant présente. S’agissant de la durée de la prolongation, il faut souligner qu’elle a été admise pour une durée de trois mois. Cette durée paraît a priori nécessaire pour permettre au Ministère public de déposer une demande d’entraide judiciaire aux autorités françaises afin d’entendre I.________ par vidéo-conférence en France, procéder à l’audition récapitulative du recourant, permettre à la police de déposer son rapport final, mettre le dossier en prochaine clôture, recueillir les déterminations des parties et renvoyer la cause au tribunal cas échéant. En outre, compte tenu de la gravité des faits qui lui sont reprochés, le recourant s’expose à une peine privative de liberté d’une durée manifestement supérieure à celle de la détention subie à ce jour, même augmentée de la durée de sa prolongation. Le principe de la proportionnalité est ainsi respecté.</w:t>
      </w:r>
    </w:p>
    <w:p>
      <w:r>
        <w:rPr>
          <w:b/>
        </w:rPr>
        <w:t>E. 6</w:t>
      </w:r>
    </w:p>
    <w:p>
      <w:r>
        <w:t>Au vu de ce qui précède, le recours, manifestement mal fondé, doit être rejeté sans échange d'écritures (art. 390 al. 2 CPP) et l'ordonnance entreprise confirmée. Compte tenu de la nature de l’affaire et de l’acte de recours déposé, l’indemnité allouée au défenseur d’office de B.________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7,7 %, par 42 fr. 40, soit à 594 fr. au total en chiffres arrondis. Vu le sort du recours, les frais de la procédure, constitués en l’espèce de l’émolument d'arrêt, par 1’650 fr. (art. 20 al. 1 TFIP), et des frais imputables à la défense d’office de B.________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6 novembre 2023 est confirmée. III. L’indemnité allouée au défenseur d’office de B.________ est fixée à 594 fr. (cinq cent nonante-quatre francs). IV. Les frais d’arrêt, par 1’650 fr. (mille six cent cinquante francs), ainsi que l’indemnité due au défenseur d’office du recourant, par 594 fr. (cinq cent nonante-quatre francs), sont mis à la charge de B.________. V. Le remboursement à l’Etat de l’indemnité allouée au chiffre III ci-dessus ne sera exigible que pour autant que la situation financière de B.________ le permette. VI. L’arrêt est exécutoire. La présidente :               La greffière : Du Le présent arrêt, dont la rédaction a été approuvée à huis clos, est notifié, par l'envoi d'une copie complète, à : - Me Quentin Beausire, avocat (pour B.________), - Ministère public central, et communiqué à : ‑ M. le Président du Tribunal des mesures de contrainte, - M. le Procureur cantonal, Division affaires spéciales, - Service de la population ([...]2002)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