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944 vom 11. Oktober 2021</w:t>
      </w:r>
    </w:p>
    <w:p>
      <w:r>
        <w:t>VD Tribunal cantonal, 2021-10-11, FR</w:t>
      </w:r>
    </w:p>
    <w:p>
      <w:r>
        <w:rPr>
          <w:b/>
        </w:rPr>
        <w:t xml:space="preserve">Quelle: </w:t>
      </w:r>
      <w:r>
        <w:t>https://mcp.opencaselaw.ch/entscheid/vd_findinfo_944___________</w:t>
      </w:r>
    </w:p>
    <w:p>
      <w:r>
        <w:t>FR: VD_FINDINFO 944 du 11 octobre 2021</w:t>
      </w:r>
    </w:p>
    <w:p>
      <w:r>
        <w:t>IT: VD_FINDINFO 944 del 11 ottobre 2021</w:t>
      </w:r>
    </w:p>
    <w:p>
      <w:pPr>
        <w:pStyle w:val="Heading2"/>
      </w:pPr>
      <w:r>
        <w:t>Regeste</w:t>
      </w:r>
    </w:p>
    <w:p>
      <w:r>
        <w:t>NON-LIEU, ADMISSION DE LA DEMANDE, FAUX TÉMOIGNAGE | 319 al. 1 CPP (CH)</w:t>
      </w:r>
    </w:p>
    <w:p>
      <w:pPr>
        <w:pStyle w:val="Heading2"/>
      </w:pPr>
      <w:r>
        <w:t>Erwägungen</w:t>
      </w:r>
    </w:p>
    <w:p>
      <w:r>
        <w:rPr>
          <w:b/>
        </w:rPr>
        <w:t>E. 1</w:t>
      </w:r>
    </w:p>
    <w:p>
      <w:r>
        <w:t>CPP).</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Les recours ont été interjetés en temps utile, auprès de l’autorité compétente, par les parties plaignantes; ils satisfont en outre aux conditions de forme prescrites (art. 385 al.</w:t>
      </w:r>
    </w:p>
    <w:p>
      <w:r>
        <w:rPr>
          <w:b/>
        </w:rPr>
        <w:t>E. 1.3</w:t>
      </w:r>
    </w:p>
    <w:p>
      <w:r>
        <w:t>Autre est toutefois la question de savoir, d’abord, si B.Y.________ a la qualité pour recourir (art. 382 al. 1 CPP). Selon la jurisprudence, l'infraction de faux témoignage (cf. consid. 3.2 ci-dessous) protège en première ligne l'intérêt collectif, en réprimant des infractions contre l'administration de la justice, dont le but est la recherche de la vérité matérielle. Les intérêts privés ne sont défendus que de manière secondaire (TF 6B_243/2015 du 12 juin 2015 consid. 2.1, SJ 2016 I 125). Les particuliers ne seront donc considérés comme des lésés que si leurs intérêts privés ont été effectivement touchés par le faux témoignage, ce qu'ils doivent exposer (ATF 123 IV 184 consid. 1c p. 188; TF 6B_92/2018 du 17 mai 2018 consid. 2.2; TF 6B_1004/2014 du 30 juin 2015 consid. 1.2 et les références citées). En sa qualité de partie au procès civil dans lequel a été recueillie la déposition incriminée, B.Y.________ a été lésée dans ses intérêts privés par le faux témoignage dénoncé. Partant, son recours est recevable. Pour sa part, A.Y.________ n’est pas partie au contrat de vente à l’origine de la présente procédure, la seule acheteuse de la maison étant B.Y.________. L’époux n’est pas davantage partie au procès civil dans lequel a été recueillie la déposition incriminée. On ne saurait donc retenir que ses intérêts privés aient été effectivement touchés par le faux témoignage dénoncé. Même s’il est partie plaignante et s’il a été impliqué dans la négociation du contrat, A.Y.________ n’a donc pas d’intérêt juridiquement protégé à l’annulation ou à la modification de l’ordonnance du 17 août 2021 au sens de l’art. 382 al. 1 CPP, faute d’être lésé au sens de la jurisprudence ci-dessus. Partant, son recours est irrecevable.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1057,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2.3.1, JdT 2017 IV 357; ATF 138 IV 86 consid. 4.1.1; ATF 138 IV 186 consid. 4.1; ATF 137 IV 219 consid. 7).</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p. 243 et les arrêts cités; TF 6B_1164/2020 du 10 juin 2021 consid. 2.2;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TF 6B_1164/2020 précité consid. 2.2; TF 6B_116/2019 précité consid. 2.1; TF 6B_1239/2018 précité consid. 3.1.2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TF 6B_1239/2018 précité consid. 3.1.2 et les arrêts cités).</w:t>
      </w:r>
    </w:p>
    <w:p>
      <w:r>
        <w:rPr>
          <w:b/>
        </w:rPr>
        <w:t>E. 3.1</w:t>
      </w:r>
    </w:p>
    <w:p>
      <w:r>
        <w:t>La recourante soutient que la Procureure a violé le principe « in dubio pro duriore ». En effet, face à des dépositions d’une part contradictoires et, d’autre part, d’un degré de crédibilité difficile à apprécier, elle aurait, selon la plaignante, dû renvoyer le prévenu en jugement. Au demeurant, la recourante considère que la version des faits présentée par les plaignants est la plus plausible. Elle se prévaut à cet égard de messages électroniques du prévenu, produits en traduction libre de leur teneur originelle anglaise figurant dans l’ordonnance entreprise, ce qui satisfait aux exigences légales régissant la langue de la procédure (art. 67 CPP, rapproché de l’art. 3 de la Constitution du Canton de Vaud du 14 avril 2003 [BLV 101.01]). D’après ces messages, celui-ci aurait, contrairement à sa déposition devant le juge civil, admis que la commission en sa faveur était obligatoire et qu’elle ne constituait donc pas une option (cf. mémoire de recours, p. 11 et 12, notamment).</w:t>
      </w:r>
    </w:p>
    <w:p>
      <w:r>
        <w:rPr>
          <w:b/>
        </w:rPr>
        <w:t>E. 3.2</w:t>
      </w:r>
    </w:p>
    <w:p>
      <w:r>
        <w:t>Aux termes de l'art. 307 CP (Code pénal suisse du 21 décembre 1937; RS 311.0),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il n'est pas nécessaire, pour que l'infraction soit consommée, que le juge ait été influencé (Corboz, Les infractions en droit suisse, 3 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 Dupuis/Moreillon/ Piguet/Berger/Mazou/Rodigari [éd.], Petit commentaire CP, 2 e éd., Bâle 2017, n. 13 ad art. 306 CP et n. 16 ad art. 307 CP;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25 mars 2021/288; CREP 11 février 2014/107; CREP 27 octobre 2011/470).</w:t>
      </w:r>
    </w:p>
    <w:p>
      <w:r>
        <w:rPr>
          <w:b/>
        </w:rPr>
        <w:t>E. 3.3</w:t>
      </w:r>
    </w:p>
    <w:p>
      <w:r>
        <w:t>Dans le cas particulier, les discussions entre le plaignant A.Y.________ et le prévenu W.________ ont eu lieu sans témoin. Il s'agit ainsi d’un éventuel délit commis « entre quatre yeux » au sens de la jurisprudence résumée au considérant 2.2 ci-dessus. En principe, le prévenu doit alors être mis en accusation. Comme déjà indiqué,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On ne se trouve toutefois pas dans ce dernier cas de figure. En effet, les plaignants ont produit plusieurs messages électroniques dans lesquels le prévenu insistait sur le caractère obligatoire de la commission réclamée. Il est possible que ces messages devaient signifier que, dans la mesure où les parties s’étaient mises d’accord à cet égard, il n’était plus possible de revenir sur cet engagement. Toutefois, on pourrait aussi les tenir pour autant d’éléments démontrant que la commission à verser par l’acheteuse avait été présentée par le prévenu comme obligatoire, donc non négociable dans son principe. L’intimé fait valoir que le juge civil ne l’a pas rendu attentif aux suites pénales d’un faux témoignage, ce qui suffirait à exclure cette infraction. Sous l’angle de l’art. 307 CP, il n’est pas nécessaire, à la différence de l’art. 306 al. 1 CP, que l’auteur ait été expressément invité par le juge à dire la vérité, et rendu attentif aux suites pénales d’un faux témoignage (Dupuis et alii [éd.], op. cit., n. 21 ad art. 307 CP). L’avis de doctrine dont se réclame le prévenu est relatif à l’art. 177 CPP, soit à une disposition applicable devant l’autorité pénale uniquement, alors que la déposition incriminée a été faite devant le juge civil. Dans ces circonstances, le classement prononcé procède d’une fausse application de l’art. 319 al. 1 let. a CPP. Bien plutôt, le principe « in dubio pro duriore » commandait de renvoyer le prévenu en jugement pour répondre du chef de prévention de faux témoignage, l’instruction devant être tenue pour achevée. Quant à la suite de la procédure, il est loisible au Ministère public de se fonder sur la traduction libre des messages du prévenu effectuée par les recourants.</w:t>
      </w:r>
    </w:p>
    <w:p>
      <w:r>
        <w:rPr>
          <w:b/>
        </w:rPr>
        <w:t>E. 4</w:t>
      </w:r>
    </w:p>
    <w:p>
      <w:r>
        <w:t>Il résulte de ce qui précède que le recours de A.Y.________ est irrecevable et que celui de B.Y.________ doit être admis, l'ordonnance entreprise annulée et le dossier de la cause renvoyé au Ministère public de l’arrondissement de Lausanne pour qu'il procède dans le sens des considérants qui précèdent. Les frais de la procédure de recours sont limités à l’émolument d’arrêt, par 1'210 fr. (art. 20 al. 1 TFIP [Tarif des frais de procédure et indemnités en matière pénale du 28 septembre 2010; BLV 312.03.1]). L’émolument sera mis par moitié à la charge de A.Y.________, qui succombe vu l’irrecevabilité de son recours (428 al. 1 CPP), et par moitié à la charge de W.________, qui succombe à l’égard de B.Y.________, dès lors qu’il a conclu à l’irrecevabilité du recours de la plaignante, subsidiairement à son rejet (ibid.). La recourante, qui a procédé avec l’assistance d’un conseil de choix et qui a obtenu gain de cause à l’égard de l’intimé W.________, a droit, à la charge de ce dernier, à une indemnité pour les dépenses obligatoires occasionnées par la procédure de recours (art. 433 al. 1 let. a CPP, applicable par renvoi de l’art. 436 al. 1 CPP). A l’instar des frais, cette indemnité sera réduite de moitié, dans la mesure où le mémoire de recours articule les mêmes moyens pour les deux plaignants et que l’un des deux recours est irrecevable, comme déjà relevé. Il convient de retenir une activité raisonnable de trois heures d’avocat au total. Le tarif horaire sera fixé à 300 fr. pour tenir compte du degré de complexité somme toute limité de la cause (art. 26a al. 4 TFIP). A ces honoraires doivent être ajoutés des débours forfaitaires à concurrence de 2 % (art. 19 al. 2 TDC [Tarif des dépens en matière civile du 23 novembre 2010; BLV 270.11.6], applicable par analogie par renvoi de l’art. 26a al. 6 TFIP) par 18 fr., plus un montant correspondant à la TVA par 70 fr. 70. L’indemnité réduite s’élève ainsi à 495 fr. en chiffres arrondis. Par ces motifs, la Chambre des recours pénale prononce : I. Le recours de A.Y.________ est irrecevable. II. Le recours de B.Y.________ est admis. III. L’ordonnance du 17 août 2021 est annulée. IV. Le dossier de la cause est renvoyé au Ministère public de l’arrondissement de Lausanne pour qu'il procède dans le sens des considérants. V. Une indemnité de 495 fr. (quatre cent nonante-cinq francs) est allouée à B.Y.________ pour ses dépenses obligatoires occasionnées par la procédure de recours, à la charge de W.________. VI. Les frais d’arrêt sont mis par moitié, soit par 605 fr. (six cent cinq francs), à la charge de A.Y.________, et par moitié, soit par 605 fr. (six cent cinq francs), à la charge de W.________. VII. L’arrêt est exécutoire. Le président :              Le greffier : Du Le présent arrêt, dont la rédaction a été approuvée à huis clos, est notifié, par l'envoi d'une copie complète, à : - Me Jean Donnet, avocat (pour A.Y.________ et B.Y.________), - Me Philippe Chaulmontet, avocat (pour W.________),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