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924 vom 31. Dezember 2024</w:t>
      </w:r>
    </w:p>
    <w:p>
      <w:r>
        <w:t>VD Tribunal cantonal, 2024-12-31, FR</w:t>
      </w:r>
    </w:p>
    <w:p>
      <w:r>
        <w:rPr>
          <w:b/>
        </w:rPr>
        <w:t xml:space="preserve">Quelle: </w:t>
      </w:r>
      <w:r>
        <w:t>https://mcp.opencaselaw.ch/entscheid/vd_findinfo_924___________</w:t>
      </w:r>
    </w:p>
    <w:p>
      <w:r>
        <w:t>FR: VD_FINDINFO 924 du 31 décembre 2024</w:t>
      </w:r>
    </w:p>
    <w:p>
      <w:r>
        <w:t>IT: VD_FINDINFO 924 del 31 dicembre 2024</w:t>
      </w:r>
    </w:p>
    <w:p>
      <w:pPr>
        <w:pStyle w:val="Heading2"/>
      </w:pPr>
      <w:r>
        <w:t>Regeste</w:t>
      </w:r>
    </w:p>
    <w:p>
      <w:r>
        <w:t>DÉTENTION PROVISOIRE, RISQUE DE FUITE, HOMICIDE, SÛRETÉS | 221 al. 1 let. a CPP (CH), 237 CPP (CH), 238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w:t>
      </w:r>
    </w:p>
    <w:p>
      <w:r>
        <w:t>Le recourant ne conteste pas, à juste titre, l’existence de soupçons suffisants de la commission d’un crime ou d’un délit. En revanche, il fait valoir qu’il ne présenterait pas de risque de fuite. Il expose avoir quitté l’Argentine il y a plus de 40 ans, avoir construit toute sa vie privée, familiale et professionnelle en Suisse et ne pas avoir les liquidités nécessaires pour assurer son minimum vital en Argentine, l’essentiel de sa fortune ayant été immobilisé dans un bien immobilier. Rien au dossier n’indiquerait en outre qu’il entretiendrait des liens étroits avec ses deux frères résidents en Argentine et son éventuelle idée de se réfugier chez son fils, âgé de 27 ans, serait « pour le moins théorique », car incompatible avec sa personnalité ressortant des diverses déclarations des membres de sa famille.</w:t>
      </w:r>
    </w:p>
    <w:p>
      <w:r>
        <w:rPr>
          <w:b/>
        </w:rPr>
        <w:t>E. 3.1</w:t>
      </w:r>
    </w:p>
    <w:p>
      <w:r>
        <w:t>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TF 7B_1162/2024 du 25 novembre 2024 consid. 3.1 ; TF 7B_234/2024 du 14 mars 2024 consid. 4.2.1). Le risque de fuite s'étend également au risque de se soustraire à la procédure pénale ou à la sanction prévisible en tombant dans la clandestinité à l'intérieur du pays (ATF 143 IV 160 consid. 4.3 ; TF 7B_907/2024 du 23 septembre 2024 consid. 3.1.2).</w:t>
      </w:r>
    </w:p>
    <w:p>
      <w:r>
        <w:rPr>
          <w:b/>
        </w:rPr>
        <w:t>E. 3.2</w:t>
      </w:r>
    </w:p>
    <w:p>
      <w:r>
        <w:t>En l’espèce, le risque de fuite est patent. En effet, les charges de meurtre qui pèsent sur le recourant sont très importantes et il s’expose, au vu de la gravité des faits reprochés, à une longue peine privative de liberté. On peut dès lors craindre qu’il choisisse de s’y soustraire en quittant la Suisse, ce d’autant qu’il est également de nationalité argentine, qu’il a vécu dans ce pays jusqu’à ses 21-22 ans (cf. PV d’audition n° 3, R. 11) et qu’il a de la famille là-bas, soit, à tout le moins, deux frères et un fils. Le fait qu’il a, très peu de temps avant les faits, renouvelé son passeport argentin et qu’il a affirmé vouloir prendre sa retraite en février prochain et voyager (cf. PV d’audition TMC du 6 décembre 2024, ll. 68 à 71) – ce que son seul passeport suisse lui permettrait de faire – renforce encore l’intensité du risque de fuite. Il en va de même de l’attitude pour le moins oppositionnelle qu’il a adoptée au moment d’être transféré à la zone carcérale, en tentant de soustraire à son escorte.</w:t>
      </w:r>
    </w:p>
    <w:p>
      <w:r>
        <w:rPr>
          <w:b/>
        </w:rPr>
        <w:t>E. 4</w:t>
      </w:r>
    </w:p>
    <w:p>
      <w:r>
        <w:t>Les conditions de l’art. 221 CPP étant alternatives (TF 1B_134/2023 du 5 avril 2023 consid. 4.4), l’existence du risque de fuite dispense la Chambre de céans d’examiner si la détention provisoire s’impose également en raison des risques de collusion et de réitération retenus par le Tribunal des mesures de contrainte.</w:t>
      </w:r>
    </w:p>
    <w:p>
      <w:r>
        <w:rPr>
          <w:b/>
        </w:rPr>
        <w:t>E. 5</w:t>
      </w:r>
    </w:p>
    <w:p>
      <w:r>
        <w:t>décembre 2024 consid. 5.2). De jurisprudence constante, en présence d'un risque de fuite, une saisie des documents d'identité, une assignation à résidence et la présentation régulière à un poste de police ne sont pas de nature à empêcher une personne de s'enfuir à l'étranger, voire de passer dans la clandestinité, notamment dans un pays limitrophe et/ou de l’espace Schengen (TF 7B_618/2024 du 25 juin 2024 consid. 3.4.2 ; TF 7B_1011/2023 du 11 janvier 2024 consid. 5.3 et les références citées). Quant à la surveillance électronique, elle ne permet pas, dans sa forme actuelle, de prévenir une fuite en temps réel, mais uniquement de la constater a posteriori (ATF 145 IV 503 consid. 3.3 ; TF 7B_1011/2023 précité). Même en cas de surveillance active avec possibilité d'intervention immédiate de la police, il n'est pas exclu que le porteur d'un tel dispositif puisse fuir et, notamment, passer une frontière avant que les forces de l'ordre parviennent à l'arrêter. À cela s'ajoute qu'en cas de retrait forcé du bracelet ou de sa mise hors d'usage, l'intéressé ne ferait plus l'objet d'aucune surveillance, sous réserve de l'alarme qui serait donnée par la mise hors service, et disposerait dès lors du temps nécessaire pour passer dans la clandestinité, voire pour quitter la Suisse (ATF 145 IV 503 consid. 3.3.2 ; TF 7B_1011/2023 précité). A teneur de l'art. 238 al. 1 CPP, s'il y a danger de fuite, le tribunal peut astreindre le prévenu au versement d'une somme d'argent afin de garantir qu'il se présentera aux actes de procédure et qu'il se soumettra à l'exécution d'une sanction privative de liberté.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(cf. TF 7B_371/2024 du 23 avril 2024 consid. 5.2 ; TF 7B_778/2023 du 6 novembre 2023 consid. 2.3.1 ; TF 7B_645/2023 du 13 octobre 2023 consid. 3.2.2 et les arrêts cités) – et de la confiance qu'on peut avoir que la perspective de perdre le montant agira comme un frein suffisamment puissant pour écarter toute velléité de fuite (cf. ATF 105 Ia 186 consid. 4a).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(TF 7B_371/2024 précité ; TF 7B_778/2023 précité ; TF 7B_645/2023 précité). Enfin, le juge de la détention peut renoncer à ordonner une mise en liberté sous caution ou moyennant le versement de sûretés lorsqu'il a la conviction que cette mesure ne suffira pas à garantir la présence du prévenu aux débats et, le cas échéant, sa soumission au jugement (TF 7B_371/2024 précité ; TF 7B_1009/2023 du 6 février 2024 consid. 6.2.1 ; TF 7B_778/2023 précité ; TF 1B_291/2023 du 16 juin 2023 consid. 5.3 et les références citées).</w:t>
      </w:r>
    </w:p>
    <w:p>
      <w:r>
        <w:rPr>
          <w:b/>
        </w:rPr>
        <w:t>E. 5.1</w:t>
      </w:r>
    </w:p>
    <w:p>
      <w:r>
        <w:t>Conformément au principe de la proportionnalité ancré à l'art.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l’interdiction de  l’obligation de se rendre dans un certain lieu (let. c) ou l’obligation de se présenter régulièrement à un service administratif (let. c). Cette liste est exemplative et le juge de la détention peut également, le cas échéant, assortir les mesures de substitution de toute condition propre à en garantir l'efficacité (ATF 145 IV 503 consid. 3.1 ; TF 7B_1219/2024 du</w:t>
      </w:r>
    </w:p>
    <w:p>
      <w:r>
        <w:rPr>
          <w:b/>
        </w:rPr>
        <w:t>E. 5.2</w:t>
      </w:r>
    </w:p>
    <w:p>
      <w:r>
        <w:t>Comme on l’a vu, la nature de l’infraction envisagée impose une extrême prudence au moment d’examiner si des mesures de substitution pourraient être mises en œuvre. Or, ici également, l’argumentation du recourant ne peut être suivie car les mesures qu’il propose ne sont assurément pas, comme l’a confirmé la jurisprudence, de nature à l’empêcher de quitter la Suisse ou d’entrer dans la clandestinité en cas de remise en liberté. Quant au « blocage ou saisie de ses actifs » auxquels il conclut, il s’agit de mesures de substitution qui ne sont absolument pas documentées. Le recourant prétend seulement avoir un immeuble, sans fournir de plus amples détails. Au surplus, même si la fourniture d’une somme d’argent prévue par l’art. 238 al. 1 CPP n’est pas exhaustive et que les sûretés peuvent aussi consister en une garantie fournie par une banque ou une assurance (cf. art. 238 al. 3 CPP), le recourant n’expose pas en quoi il pourrait remplir les conditions d’une sûreté qui ne serait pas fournie en espèces. En conclusion, il est évident que la lourde peine privative de liberté dont il est passible est propre à l’inciter à se soustraire aux autorités de poursuites pénales, en fuyant à l’étranger ou en se réfugiant dans la clandestinité en Suisse, et que les mesures proposées ne sont pas de nature à l’en empêcher.</w:t>
      </w:r>
    </w:p>
    <w:p>
      <w:r>
        <w:rPr>
          <w:b/>
        </w:rPr>
        <w:t>E. 6</w:t>
      </w:r>
    </w:p>
    <w:p>
      <w:r>
        <w:t>Le recourant n’invoque pas que sa détention provisoire, ordonnée à ce stade pour une durée maximale de trois mois, violerait le principe de la proportionnalité. L’examen de l’autorité de recours étant limité aux moyens soulevés (cf. p. ex. CREP 13 décembre 2024/904 consid. 2.2 et les arrêts cités), il n’y a pas lieu d’examiner cet aspect. On relèvera toutefois que le recourant est incarcéré depuis un peu moins d’un mois et qu’il s’expose, compte de tenu de la gravité des faits, à une peine privative de liberté qui pourrait s’étendre sur des années.</w:t>
      </w:r>
    </w:p>
    <w:p>
      <w:r>
        <w:rPr>
          <w:b/>
        </w:rPr>
        <w:t>E. 7</w:t>
      </w:r>
    </w:p>
    <w:p>
      <w:r>
        <w:t>En définitive, le recours, manifestement mal fondé, doit être rejeté sans échange d’écritures (art. 390 al. 2 CPP) et l’ordonnance entreprise confirmée. Au vu du travail accompli par Me Robert Ayrton, défenseur d’office d’X.________, son indemnité sera fixée à 540 fr., correspondant à une activité nécessaire d’avocat de 3h00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 Vu le sort du recours, les frais de la procédure, constitués en l’espèce de l’émolument d'arrêt, par 990 fr. (art. 20 al. 1 TFIP), et des frais imputables à la défense d’office (art. 422 al. 1 et 2 let. a CPP), par 596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6 décembre 2024 est confirmée. III. L’indemnité allouée à Me Robert Ayrton, défenseur d’office d’X.________, est fixée à 596 fr. (cinq cent nonante-six francs). IV. Les frais d’arrêt, par 990 fr. (neuf cent nonante francs), ainsi que l'indemnité allouée à Me Robert Ayrton, par 596 fr. (cinq cent nonante-six francs), sont mis à la charge d’X.________. V. Le remboursement à l’Etat de l’indemnité allouée au chiffre III ci-dessus ne sera exigible que pour autant que la situation financière d’X.________ le permette. VI. L’arrêt est exécutoire. Le président :               Le greffier : Du Le présent arrêt, dont la rédaction a été approuvée à huis clos, est notifié, par l'envoi d'une copie complète, à : - Me Robert Ayrton, avocat (pour X.________),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