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906 vom 28. November 2022</w:t>
      </w:r>
    </w:p>
    <w:p>
      <w:r>
        <w:t>VD Tribunal cantonal, 2022-11-28, FR</w:t>
      </w:r>
    </w:p>
    <w:p>
      <w:r>
        <w:rPr>
          <w:b/>
        </w:rPr>
        <w:t xml:space="preserve">Quelle: </w:t>
      </w:r>
      <w:r>
        <w:t>https://mcp.opencaselaw.ch/entscheid/vd_findinfo_906___________</w:t>
      </w:r>
    </w:p>
    <w:p>
      <w:r>
        <w:t>FR: VD_FINDINFO 906 du 28 novembre 2022</w:t>
      </w:r>
    </w:p>
    <w:p>
      <w:r>
        <w:t>IT: VD_FINDINFO 906 del 28 novembre 2022</w:t>
      </w:r>
    </w:p>
    <w:p>
      <w:pPr>
        <w:pStyle w:val="Heading2"/>
      </w:pPr>
      <w:r>
        <w:t>Regeste</w:t>
      </w:r>
    </w:p>
    <w:p>
      <w:r>
        <w:t>DIFFAMATION, CALOMNIE, INFRACTIONS CONTRE LE DOMAINE SECRET, CLASSEMENT DE LA PROCÉDURE, ADMISSION DE LA DEMANDE | 173 CP, 174 CP, 179quater CP, 310 CPP (CH)</w:t>
      </w:r>
    </w:p>
    <w:p>
      <w:pPr>
        <w:pStyle w:val="Heading2"/>
      </w:pPr>
      <w:r>
        <w:t>Erwägungen</w:t>
      </w:r>
    </w:p>
    <w:p>
      <w:r>
        <w:rPr>
          <w:b/>
        </w:rPr>
        <w:t>E. 1.1</w:t>
      </w:r>
    </w:p>
    <w:p>
      <w:r>
        <w:t>Les parties peuvent attaquer une ordonnance de classement rendue par le ministère public en application des art. 319 ss CPP.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à l’autorité de recours (art. 322 al. 2 et 396 al. 1 CPP).</w:t>
      </w:r>
    </w:p>
    <w:p>
      <w:r>
        <w:rPr>
          <w:b/>
        </w:rPr>
        <w:t>E. 1.2</w:t>
      </w:r>
    </w:p>
    <w:p>
      <w:r>
        <w:t>En l’espèce, interjeté en temps utile devant l’autorité compétente par la partie plaignante qui a qualité pour recourir (art. 382 al. 1 CPP), et satisfaisant aux conditions de forme prescrites (art. 385 al. 1 CPP), le recours de A.________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in dubio pro duriore . Ce principe, qui découle du principe de la légalité (art. 5 al. 1 Cst. et 2 al. 2 CPP en relation avec les art. 319 al. 1 et 324 al. 1 CPP ; ATF 138 IV 86 consid. 4.2) et qui vaut également pour l’autorité judiciaire chargée de l’examen d’une décision de classement, signifie qu’en règle générale, un classement ou une non-entrée en matière ne peuvent être prononcés que lorsqu’il apparaît clairement que les faits ne sont pas punissables ou que les conditions à la poursuite pénale ne sont pas remplies. Le Ministère public dispose,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cas de doute s’agissant de la situation factuelle ou juridique, ce n’est pas à l’autorité d’instruction ou d’accusation mais au juge matériellement compétent qu’il appartient de se prononcer (ATF 143 IV 241 consid. 2.2.1 ; ATF 138 IV 86 consid. 4.1.2 et les références citées ; TF 6B_1381/2021 du 24 janvier 2022 consid. 2).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w:t>
      </w:r>
    </w:p>
    <w:p>
      <w:r>
        <w:rPr>
          <w:b/>
        </w:rPr>
        <w:t>E. 3</w:t>
      </w:r>
    </w:p>
    <w:p>
      <w:r>
        <w:t>Le recourant fait grief au Ministère public d’avoir ordonné le classement de la procédure dirigée contre K.________ et Z.________ pour calomnie, reprochant à celles-ci d’avoir tenu, auprès de la régie immobilière et de la police, des accusations mensongères le concernant, en particulier s’agissant de nuisances sonores et d’odeurs suspectes dont il serait à l’origine, et d’insultes et menaces qu’il aurait proférées.</w:t>
      </w:r>
    </w:p>
    <w:p>
      <w:r>
        <w:rPr>
          <w:b/>
        </w:rPr>
        <w:t>E. 3.1.1</w:t>
      </w:r>
    </w:p>
    <w:p>
      <w:r>
        <w:t>Aux termes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Tant la diffamation que la calomnie sont des infractions intentionnelles (Corboz, Les infractions en droit suisse, 3 e éd., vol. I, Berne 2010, n. 48 ad art. 173 CP et n. 11 ad art. 174 CP).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6B_1215/2020 du 22 avril 2021 consid. 3.1 et les références citées). Ces deux dispositions protègent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145 IV 462 consid. 4.2.2 ; ATF 137 IV 313 consid. 2.1.1 ; TF 6B_1287/2021 du 31 août 2022 consid. 2.3).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consid. 4.2.3 ; ATF 137 IV 313 consid. 2.1.3 ; TF 6B_1287/2021 précité consid. 2.3.2). S’agissant d’un texte, il doit être analysé non seulement en fonction des expressions utilisées, prises séparément, mais aussi selon le sens général qui se dégage du texte dans son ensemble (ATF 137 IV 313 consid 2.1.3 ; TF 6B_1287/2021 précité consid. 2.3.2).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 TF 6B_541/2019 du 15 juillet 2019 consid. 2.1). Du point de vue subjectif, il suffit que l'auteur ait eu conscience du caractère attentatoire à l'honneur de ses propos et qu'il les ait néanmoins proférés ; il n'est pas nécessaire qu'il ait eu la volonté de blesser la personne visée (ATF 137 IV 313 consid. 2.1.6 ; TF 6B_541/2019 du 15 juillet 2019 consid. 2.1).</w:t>
      </w:r>
    </w:p>
    <w:p>
      <w:r>
        <w:rPr>
          <w:b/>
        </w:rPr>
        <w:t>E. 3.1.2</w:t>
      </w:r>
    </w:p>
    <w:p>
      <w:r>
        <w:t>La loi prévoit la possibilité pour une personne accusée de diffamation d'apporter des preuves libératoires qui excluent sa condamnation (art. 173 ch. 2 CP). Aux termes de cette disposition, le prévenu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les arrêts cités ; Dupuis et al., Petit commentaire, Code pénal, 2 e éd., Bâle 2017, n. 30 ad art. 173 CP et les réf.).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6B_1047/2019 du 15 janvier 2020 consid. 3.1). Il faut se placer exclusivement sur les éléments dont il avait connaissance à l’époque de sa déclaration (ibidem). L'admission à la preuve libératoire constitue la règle. Elle ne peut être refusée que si deux conditions sont réunies cumulativement : l'auteur a agi principalement dans le but de dire du mal d'autrui et il s'est exprimé sans motif suffisant (art. 173 ch. 3 CP ; TF 6B_1215/2020 du 22 avril 2021 consid.2.2 ; TF 6B_1268/2019 du 15 janvier 2020 consid. 1.2).</w:t>
      </w:r>
    </w:p>
    <w:p>
      <w:r>
        <w:rPr>
          <w:b/>
        </w:rPr>
        <w:t>E. 3.2</w:t>
      </w:r>
    </w:p>
    <w:p>
      <w:r>
        <w:t>En l’espèce, la plainte déposée par A.________ s’inscrit dans le cadre d’un important conflit de voisinage qui l’oppose, en particulier, à K.________ et à Z.________. Dans ce contexte, les prévenues se sont notamment plaintes auprès de la gérance (et à la police s’agissant de Z.________) de nuisances sonores (musique, bruit, vibrations) ainsi que diverses incivilités de la part du recourant. A cet égard, les courriers à la gérance ainsi que leur contenu ne sont pas contestés. Les allégations qui précèdent relèvent toutefois du droit civil, en particulier du droit du bail, et ne constituent pas des atteintes à l’honneur punissables sous l’angle des art. 173 et 174 CP. En effet, elles ne sont pas de nature à faire apparaître le recourant comme une personne méprisable au sens restrictif de la jurisprudence, ni à jeter sur lui le soupçon d’avoir eu un comportement contraire aux règles de l’honneur (cf. CREP</w:t>
      </w:r>
    </w:p>
    <w:p>
      <w:r>
        <w:rPr>
          <w:b/>
        </w:rPr>
        <w:t>E. 4</w:t>
      </w:r>
    </w:p>
    <w:p>
      <w:r>
        <w:t>Le recourant considère que, contrairement à ce qu’a retenu le Ministère public, l’infraction de violation du domaine secret ou du domaine privé au moyen d’un appareil de prise de vues est réalisée, dès lors qu’il a été filmé à son insu par Z.________, alors qu’il se trouvait dans son jardin privatif.</w:t>
      </w:r>
    </w:p>
    <w:p>
      <w:r>
        <w:rPr>
          <w:b/>
        </w:rPr>
        <w:t>E. 4.1</w:t>
      </w:r>
    </w:p>
    <w:p>
      <w:r>
        <w:t>L'art. 179 quater CP réprime la violation du domaine secret ou du domaine privé au moyen d’un appareil de prise de vues. Selon cette disposition, se rend coupable de cette infraction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celui qui aura tiré profit ou donné connaissance à un tiers d’un fait qu’il savait ou devait présumer être parvenu à sa propre connaissance au moyen d’une infraction visée à l’alinéa 1 (al. 2) et celui qui aura conservé une prise de vues ou l’aura rendue accessible à un tiers, alors qu’il savait ou devait présumer qu’elle avait été obtenue au moyen d’une infraction visée à l’alinéa 1 (al. 3). Les termes « un fait ne pouvant être perçu sans autre par chacun et qui relève du domaine privé » couvrent ce que, dans la vie d'un individu, seul un cercle restreint de personnes peut percevoir (ATF 137 I 327 consid. 6.1). Les faits qui se produisent en public et qui peuvent être vus par chacun n'appartiennent pas au domaine protégé. Par conséquent, et inversement, la sphère privée protégée inclut en principe tout ce qui survient dans des endroits ou espaces clos, protégés des regards de ceux qui se trouvent à l'extérieur ; il s'agit en particulier de ce qui se produit dans une maison, un appartement ou un jardin privé et fermé (ATF 137 I 327 précité et les références citées). L'infraction est intentionnelle. L’auteur doit ainsi avoir la volonté d’observer des faits qui relèvent du domaine secret ou privé de la victime au moyen d’un appareil de prise de vues ou de les fixer sur un porteur d’images sans que la victime ait donné son consentement. Le dol éventuel est suffisant (Dupuis et al. [éd.], op. cit., n. 15 ad. art. 179 quater CP). L’infraction visée par l’art. 179 quater CP al. 2 et 3 CP est également intentionnelle ; le dol éventuel suffit s’agissant de la connaissance que les prises de vues ont été obtenues au moyen d’une infraction visée au premier alinéa (Henzelin/Massrouri, in : Macaluso/Moreillon/Queloz [éd.], Commentaire romand, Code pénal II, Bâle 2017, nn. 17 et 18 ad art. 179 quater CP).</w:t>
      </w:r>
    </w:p>
    <w:p>
      <w:r>
        <w:rPr>
          <w:b/>
        </w:rPr>
        <w:t>E. 4.2</w:t>
      </w:r>
    </w:p>
    <w:p>
      <w:r>
        <w:t>En l’espèce, il n’est pas contesté que la vidéo a été enregistrée alors que le recourant se trouvait dans son jardin, ni qu’il ignorait – et par conséquent n’avait pas consenti – être filmé. Le Ministère public ne s’y est d’ailleurs pas trompé, puisqu’il a retenu que cet enregistrement était illicite et inexploitable en tant que moyen de preuve. La prévenue, Z.________, s’en est aussi rendue compte comme en témoigne le courrier qu’elle a envoyé le 19 mars 2021 au procureur (cf. P. 6). En effet, elle a indiqué, après avoir implicitement reconnu que cet enregistrement était problématique, qu’elle l’avait effectué uniquement à des fins défensives, dans un contexte de « légitime défense », précisant qu’il n’était pas destiné à porter atteinte à la personne du recourant ou à un membre de sa famille. C’est donc à tort que le Ministère public a considéré que l’élément subjectif de l’infraction prévue à l’art. 179 quater CP faisait défaut, puisque que de son aveu même, la prévenue avait la volonté de fixer un fait relevant du domaine privé, sur un porteur d’images, sans que la victime ait donné son consentement. Le « fait justificatif » invoqué ne remet en outre pas en cause la réalisation de l’infraction. Si on ne peut donc exclure une intention délictueuse de la part de Z.________, le dol éventuel étant suffisant, il appartiendra toutefois au Ministère public d’instruire plus avant les faits afin de déterminer si l’intéressée peut avoir agi en pensant avoir été dans son droit, soit sous l’emprise d’une erreur sur l’illicéité (art. 21 CP). Il s’ensuit que le Ministère public ne pouvait, à ce stade, ordonner le classement de la procédure s’agissant de l’infraction de violation du domaine secret ou du domaine privé au moyen d’un appareil de prise de vues.</w:t>
      </w:r>
    </w:p>
    <w:p>
      <w:r>
        <w:rPr>
          <w:b/>
        </w:rPr>
        <w:t>E. 5</w:t>
      </w:r>
    </w:p>
    <w:p>
      <w:r>
        <w:t>En définitive, le recours doit être partiellement admis et l’ordonnance du 4 octobre 2022 annulée en ce qu’elle concerne l’infraction de violation du domaine secret ou du domaine privé au moyen d’un appareil de prise de vues. La cause est ainsi renvoyée au Ministère public pour qu’il procède dans le sens des considérants. En tant qu’elle concerne l’infraction de calomnie, l’ordonnance de classement doit être confirmée ( supra consid. 3). Le recourant a requis l’assistance judiciaire, sans toutefois invoquer, ni a fortiori établir, remplir les conditions de l’art. 136 al. 1 CPP. Il n’a en effet pas exposé, dans sa plainte et dans son acte de recours, quelles étaient les conclusions civiles qu’il entendait faire valoir. Il n’a pas davantage démontré qu’il serait indigent, se limitant à indiquer que ses ressources financières étaient limitées, ce qui n’est pas suffisant. Ainsi, la demande d’assistance judiciaire pour la procédure de recours doit être rejetée. Vu le sort de la cause, les frais de la procédure de recours, constitués de l’émolument d'arrêt, par 1’210 fr. (art. 20 al. 1 TFIP [Tarif des frais de procédure et indemnités en matière pénale du 28 septembre 2010 ; BLV 312.03.1]), seront mis par moitié, soit par 605 fr., à la charge du recourant, qui succombe partiellement (art. 428 al. 1 CPP), le solde étant laissé à la charge de l’Etat. Par ces motifs, la Chambre des recours pénale prononce : I. Le recours est partiellement admis. II. L’ordonnance du 4 octobre 2022 est annulée en ce qu’elle concerne le classement pour violation du domaine secret ou du domaine privé au moyen d’un appareil de prise de vues. L’ordonnance est confirmée pour le surplus. III. Le dossier de la cause est renvoyé au Ministère public de l’arrondissement du Nord vaudois pour qu’il procède dans le sens des considérants. IV. Les frais d’arrêt, par 1’210 fr. (mille deux cent dix francs), sont mis par moitié, soit par 605 fr. (six cent cinq francs), à la charge de A.________, le solde étant laissé à la charge de l’Etat. V. L’arrêt est exécutoire. La présidente :               Le greffier : Du Le présent arrêt, dont la rédaction a été approuvée à huis clos, est notifié, par l'envoi d'une copie complète, à : - M. A.________, - Mme K.________, - Mme Z.________,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