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905 vom 16. Dezember 2024</w:t>
      </w:r>
    </w:p>
    <w:p>
      <w:r>
        <w:t>VD Tribunal cantonal, 2024-12-16, FR</w:t>
      </w:r>
    </w:p>
    <w:p>
      <w:r>
        <w:rPr>
          <w:b/>
        </w:rPr>
        <w:t xml:space="preserve">Quelle: </w:t>
      </w:r>
      <w:r>
        <w:t>https://mcp.opencaselaw.ch/entscheid/vd_findinfo_905___________</w:t>
      </w:r>
    </w:p>
    <w:p>
      <w:r>
        <w:t>FR: VD_FINDINFO 905 du 16 décembre 2024</w:t>
      </w:r>
    </w:p>
    <w:p>
      <w:r>
        <w:t>IT: VD_FINDINFO 905 del 16 dicembre 2024</w:t>
      </w:r>
    </w:p>
    <w:p>
      <w:pPr>
        <w:pStyle w:val="Heading2"/>
      </w:pPr>
      <w:r>
        <w:t>Regeste</w:t>
      </w:r>
    </w:p>
    <w:p>
      <w:r>
        <w:t>MESURE DISCIPLINAIRE, DÉTENU | 29a Cst., 38 al. 1 LEP</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(art. 20 RDD [règlement du 30 octobre 2019 sur le droit disciplinaire applicable aux personnes détenues avant jugement et condamnées ; BLV 340.07.1]) peuvent faire l'objet d'un recours au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w:t>
      </w:r>
    </w:p>
    <w:p>
      <w:r>
        <w:rPr>
          <w:b/>
        </w:rPr>
        <w:t>E. 1.2</w:t>
      </w:r>
    </w:p>
    <w:p>
      <w:r>
        <w:t>Interjeté par écrit, en temps utile, par le détenu sanctionné, contre une décision du Chef du Service pénitentiaire statuant sur recours en matière disciplinaire, le présent recours est recevable en tant qu’il conclut à l’annulation de la décision et à ce que la sanction soit l’avertissement ; en revanche, en tant que le recours conclut à la modification du « dossier carcéral » du recourant et à l’allocation d’un montant de 140 fr. à titre de tort moral, il n’est pas recevable, ces points ne faisant pas l’objet de la décision attaquée.</w:t>
      </w:r>
    </w:p>
    <w:p>
      <w:r>
        <w:rPr>
          <w:b/>
        </w:rPr>
        <w:t>E. 2</w:t>
      </w:r>
    </w:p>
    <w:p>
      <w:r>
        <w:t>Selon l’art. 38 al. 3 LEP, en matière de sanctions disciplinaires, les motifs de recours sont limités à ceux fixés aux art. 95 à 97 de la LTF (loi du 17 juin 2005 sur le Tribunal fédéral ; RS 173.110). En vertu de l’art. 95 LTF, le recours ne peut porter que sur une violation du droit fédéral (let. a), du droit international (let. b), des droits constitutionnels cantonaux (let. c), des dispositions cantonales sur le droit de vote des citoyens ainsi que sur les élections et votations populaires (let. d) et du droit intercantonal (let. e). En vertu de l’art. 97 LTF, le recours ne peut critiquer les constatations de fait que si les faits ont été établis de façon manifestement inexacte ou en violation du droit au sens de l’art. 95, et si la correction du vice est susceptible d’influer sur le sort de la cause (al. 1). Or, le Tribunal fédéral a considéré que, si conformément à la législation vaudoise, la sanction disciplinaire était prononcée par le directeur de l'établissement où le condamné est détenu et que sa décision pouvait faire l'objet d'un recours auprès du SPEN, ces deux entités étaient des autorités administratives. En revanche, le recours contre la décision du SPEN s'exerce auprès du Tribunal cantonal vaudois, soit une autorité judiciaire. Toutefois, en application de l'art. 38 al. 3 LEP, le juge ne disposait pas d'un plein pouvoir d'examen en fait et en droit. En particulier, il n'examinait les faits et la violation du droit cantonal que sous l'angle limité de l'arbitraire. Or, en l'absence d'une possibilité de faire examiner la cause par une autorité judiciaire disposant d'un plein pouvoir d'examen en fait et en droit, le détenu sanctionné disciplinairement ne disposait pas d'un accès au juge conforme aux exigences de l'art. 29a Cst. (Constitution fédérale de la Confédération suisse du 18 avril 1999 ; RS 101), le droit vaudois violant ainsi la garantie d'accès au juge prévue par l'art. 29a Cst. (TF 6B_887/2021 du 24 mai 2022 consid. 6.2). La CREP examine donc le recours avec un plein pouvoir d’examen en fait et en droit, contrairement à la disposition cantonale qui n’a pas été modifiée depuis l’arrêt du Tribunal fédéral (cf. not. CREP 16 août 2023/658 consid. 1.1).</w:t>
      </w:r>
    </w:p>
    <w:p>
      <w:r>
        <w:rPr>
          <w:b/>
        </w:rPr>
        <w:t>E. 3.1</w:t>
      </w:r>
    </w:p>
    <w:p>
      <w:r>
        <w:t>Sans contester les faits et sans réellement nier que l’objet découvert lors de la fouille du 28 décembre 2023 pourrait être dangereux (même s’il conteste qu’il ait été affûté), le recourant soutient que, compte tenu de sa propre personnalité, il ne pouvait être tenté d’utiliser cet ustensile de manière dangereuse. Il en veut pour preuve le fait qu’il l’a placé dans son armoire à pharmacie hors de la portée des autres détenus. Il se livre également à une comparaison de la dangerosité de ce couvercle avec d’autres objets, notamment son couteau de table, dont il a licitement la possession. Il conteste enfin la proportionnalité de la mesure disciplinaire.</w:t>
      </w:r>
    </w:p>
    <w:p>
      <w:r>
        <w:rPr>
          <w:b/>
        </w:rPr>
        <w:t>E. 3.2</w:t>
      </w:r>
    </w:p>
    <w:p>
      <w:r>
        <w:t>L’art. 30 al. 1 RDD prévoit que la personne détenue qui aura fabriqué ou détenu des substances ou des objets dangereux, illicites ou prohibés, ou se sera livrée à un trafic ou des tractations portant sur de telles substances ou objets sera notamment sanctionnée de l’avertissement (let. a), de l’amende (let. b), de la suppression temporaire, complète ou partielle, de la possibilité de disposer de ressources financières jusqu'à 30 jours (let c), de la suppression temporaire, complète ou partielle, des activités de loisirs jusqu'à 60 jours (let. d), de la suppression temporaire, complète ou partielle, des relations avec le monde extérieur jusqu'à 60 jours (let. e), de la consignation en cellule jusqu'à 20 jours (let. f) ou des arrêts jusqu'à 20 jours (let. g). L’art. 39 RDD dispose que l'avertissement indique à la personne détenue que son comportement est constitutif d'une infraction disciplinaire et l'informe qu'en cas de nouvelle infraction disciplinaire, une autre sanction pourra être prononcée à son encontre (al. 1). Il ne peut être prononcé qu'en cas de première infraction disciplinaire ou d'infraction de peu de gravité (al. 2). L’art. 43 al. 1 RDD prévoit que le montant de l’amende est fixé à 500 fr. maximum. L’art. 43 al. 2 RDD précise que, lorsque la personne détenue ne perçoit ni rémunération ni indemnité équitable, le montant de l'amende est fixé selon sa situation personnelle et économique.</w:t>
      </w:r>
    </w:p>
    <w:p>
      <w:r>
        <w:rPr>
          <w:b/>
        </w:rPr>
        <w:t>E. 3.3</w:t>
      </w:r>
    </w:p>
    <w:p>
      <w:r>
        <w:t>En l’espèce, la décision attaquée retient que le couvercle constitue un objet dangereux prohibé par la Directive interne des EPO n° 4. Cette directive prohibe d’une manière générale les objets tranchants. Dès lors, c’est à bon droit que le SPEN a considéré le couvercle plié comme un objet dangereux, tant il est indéniable qu’entre de mauvaises mains, cet ustensile peut devenir une arme par destination. Le fait que le recourant en ait eu conscience en mettant le couvercle plié dans sa boîte à pharmacie à l’écart des autres détenus n’y change rien. En effet, l’on ne peut exclure tout risque que l’objet tombe aux mains d’un codétenu. D’ailleurs, le recourant lui-même semble l’admettre et ne demande pas l’annulation de la sanction mais à ce qu’il ne soit sanctionné que d’un avertissement. Dans cette mesure, ses moyens portant sur la dangerosité de l’ustensile en question par rapport à d’autres armes par destination disponibles au sein de l’établissement tenues pour plus dangereuses encore (lames de rasoir, éclats de verre ou de céramique, etc.) ne sauraient dès lors emporter la conviction.</w:t>
      </w:r>
    </w:p>
    <w:p>
      <w:r>
        <w:rPr>
          <w:b/>
        </w:rPr>
        <w:t>E. 4.1</w:t>
      </w:r>
    </w:p>
    <w:p>
      <w:r>
        <w:t>A teneur de l'art. 4 RDD, la sanction doit être proportionnée au comportement fautif de la personne détenue et tenir compte notamment de la nature et de la gravité de l'infraction disciplinaire, ainsi que des antécédents (al. 1). Elle doit être adaptée à la situation personnelle de la personne détenue et de nature à avoir sur elle un effet éducatif (al. 2).</w:t>
      </w:r>
    </w:p>
    <w:p>
      <w:r>
        <w:rPr>
          <w:b/>
        </w:rPr>
        <w:t>E. 4.2</w:t>
      </w:r>
    </w:p>
    <w:p>
      <w:r>
        <w:t>En l’espèce, il est vrai que la sanction prononcée aurait pu consister en un avertissement au sens de l’art. 30 al. 1 let. a RDD, puisque le recourant, primaire en matière de sanction disciplinaire, en remplissait les conditions. Pour autant, les faits sont loin d’être anodins, dès lors que l’ustensile incriminé était susceptible de créer un danger à l’intérieur de l’établissement, s’agissant d’une arme par destination. Il y a donc un important intérêt public à réprimer un tel comportement. Quant au fait que le recourant ait soustrait l’ustensile à la vue de ses codétenus, il a été pris en compte à décharge dans la fixation de la quotité de l’amende. Partant, l’amende n’est pas disproportionnée, ne viole pas le pouvoir d’appréciation dont dispose l’autorité disciplinaire et, contrairement à ce que soutient le recourant, ne verse a fortiori pas dans l’arbitraire. Au surplus, le recourant n’invoque pas que le montant de l’amende serait excessif au regard de ses ressources.</w:t>
      </w:r>
    </w:p>
    <w:p>
      <w:r>
        <w:rPr>
          <w:b/>
        </w:rPr>
        <w:t>E. 5.1</w:t>
      </w:r>
    </w:p>
    <w:p>
      <w:r>
        <w:t>Le recourant conclut à ce qu’une « aide juridique » lui est accordée en la personne de Me Hayat.</w:t>
      </w:r>
    </w:p>
    <w:p>
      <w:r>
        <w:rPr>
          <w:b/>
        </w:rPr>
        <w:t>E. 5.2.1</w:t>
      </w:r>
    </w:p>
    <w:p>
      <w:r>
        <w:t>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d'un défenseur d'office est soumis aux conditions cumulatives que le recourant soit indigent, que sa cause ne paraisse pas dépourvue de toute chance de succès et que la sauvegarde de ses intérêts justifie une telle assistance (ATF 144 IV 299 consid. 2.1 ; TF 7B_170/2024 du 14 mai 2024 consid. 2.2.2).</w:t>
      </w:r>
    </w:p>
    <w:p>
      <w:r>
        <w:rPr>
          <w:b/>
        </w:rPr>
        <w:t>E. 5.2.2</w:t>
      </w:r>
    </w:p>
    <w:p>
      <w:r>
        <w:t>Selon l’art. 18 al. 3 LPA-VD (loi sur la procédure administrative du 28 octobre 2008 ; BLV 173.36),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27 décembre 2023/1054 ; CREP 11 novembre 2020/893 consid. 2.2.2, JdT 2016 III 33). Ce ne sont pas les dispositions du CPP en matière d'assistance judiciaire qui s’appliquent aux procédures qui relèvent de l’exécution des condamnations pénales, l'art. 132 CPP ne pouvant s'appliquer tout au plus qu’à titre de droit cantonal supplétif, pour autant que le droit cantonal le prévoie (TF 6B_1206/2021 du 30 mars 2023 consid. 6.2 et les références citées, non publié aux ATF 149 I 161 ; TF 6B_767/2020 du 3 août 2020 consid. 2.1 et les références citées). Il découle de ces principes que l’art. 18 LPA-VD est le siège de la matière en droit cantonal.</w:t>
      </w:r>
    </w:p>
    <w:p>
      <w:r>
        <w:rPr>
          <w:b/>
        </w:rPr>
        <w:t>E. 5.3</w:t>
      </w:r>
    </w:p>
    <w:p>
      <w:r>
        <w:t>En l’espèce, le recourant n’expose pas en quoi l’assistance d’un avocat lui aurait été nécessaire pour la procédure de recours. Au demeurant, il a été en mesure d’articuler ses moyens de manière recevable, et la cause ne présentait aucune difficulté qu’il n’était pas à même de surmonter seul. Certes, il sollicite également la désignation de cette avocate pour les futures démarches relatives à ce « dossier » (cf. recours, p. 1). La cour de céans n’est toutefois pas compétente pour désigner un avocat pour d’autres opérations que celles afférentes à la procédure de recours. Il s’ensuit que la sauvegarde des intérêts du recourant ne justifie pas l’assistance d'un défenseur. La requête du recourant doit donc être rejetée dans la mesure où elle est recevable.</w:t>
      </w:r>
    </w:p>
    <w:p>
      <w:r>
        <w:rPr>
          <w:b/>
        </w:rPr>
        <w:t>E. 6</w:t>
      </w:r>
    </w:p>
    <w:p>
      <w:r>
        <w:t>Au vu de ce qui précède, le recours, manifestement mal fondé, doit être rejeté dans la mesure où il est recevable, sans échange d’écritures (art. 390 al. 2 CPP), et la décision entreprise confirmée. La demande d'assistance judiciaire est rejetée dans la mesure où elle est recevable. Les frais de la procédure de recours, constitués en l’espèce du seul émolument d’arrêt (art. 422 al. 1 CPP), doivent en principe être mis à la charge du recourant, qui succombe (art. 428 al. 1 CPP). Toutefois, il convient d’en réduire la quotité en application de l’art. 425, seconde phrase, CPP, au regard de la disproportion entre le plein émolument de 990 fr. qui aurait été arrêté en application de l’art. 20 al. 1 TFIP (tarif des frais de procédure et indemnités en matière pénale du 28 septembre 2010 ; BLV 312.03.1) et le montant de l’amende contestée. Les frais seront donc ramenés à un émolument proportionné, soit à 75 francs. Par ces motifs, la Chambre des recours pénale prononce : I. Le recours est rejeté dans la mesure où il est recevable. II. La décision du 21 novembre 2024 est confirmée. III. La demande d'assistance judiciaire est rejetée dans la mesure où elle est recevable. IV. Les frais d’arrêt, réduits à 75 fr. (septante-cinq francs), sont mis à la charge d’J.________. V. L’arrêt est exécutoire. Le président :               Le greffier : Du Le présent arrêt, dont la rédaction a été approuvée à huis clos, est notifié, par l'envoi d'une copie complète, à : - M. J.________, - Ministère public central, et communiqué à : ‑ M. le Chef du Service pénitentiaire (réf. JMB/LM/AC),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