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900 vom 2. November 2023</w:t>
      </w:r>
    </w:p>
    <w:p>
      <w:r>
        <w:t>VD Tribunal cantonal, 2023-11-02, FR</w:t>
      </w:r>
    </w:p>
    <w:p>
      <w:r>
        <w:rPr>
          <w:b/>
        </w:rPr>
        <w:t xml:space="preserve">Quelle: </w:t>
      </w:r>
      <w:r>
        <w:t>https://mcp.opencaselaw.ch/entscheid/vd_findinfo_900___________</w:t>
      </w:r>
    </w:p>
    <w:p>
      <w:r>
        <w:t>FR: VD_FINDINFO 900 du 2 novembre 2023</w:t>
      </w:r>
    </w:p>
    <w:p>
      <w:r>
        <w:t>IT: VD_FINDINFO 900 del 2 novembre 2023</w:t>
      </w:r>
    </w:p>
    <w:p>
      <w:pPr>
        <w:pStyle w:val="Heading2"/>
      </w:pPr>
      <w:r>
        <w:t>Regeste</w:t>
      </w:r>
    </w:p>
    <w:p>
      <w:r>
        <w:t>RÉGIME DE LA DÉTENTION, EXÉCUTION ANTICIPÉE DES PEINES ET DES MESURES | 236 al. 1 CPP (CH)</w:t>
      </w:r>
    </w:p>
    <w:p>
      <w:pPr>
        <w:pStyle w:val="Heading2"/>
      </w:pPr>
      <w:r>
        <w:t>Erwägungen</w:t>
      </w:r>
    </w:p>
    <w:p>
      <w:r>
        <w:rPr>
          <w:b/>
        </w:rPr>
        <w:t>E. 1.1</w:t>
      </w:r>
    </w:p>
    <w:p>
      <w:r>
        <w:t>Aux termes de l’art. 393 al. 1 let. b CPP, le recours est recevable contre les décisions et actes de procédure des tribunaux de première instance. Une décision par laquelle le tribunal de première instance refuse d’autoriser le prévenu à exécuter de manière anticipée une peine privative de liberté ou une mesure entraînant une privation de liberté, respectivement révoque l’autorisation donnée, est ainsi susceptible de recours selon les art. 393 ss CPP. Ce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 ; art. 80 LOJV [Loi vaudoise d’organisation judiciaire du 12 décembre 1979 ; BLV 173.01]).</w:t>
      </w:r>
    </w:p>
    <w:p>
      <w:r>
        <w:rPr>
          <w:b/>
        </w:rPr>
        <w:t>E. 1.2</w:t>
      </w:r>
    </w:p>
    <w:p>
      <w:r>
        <w:t>En l’espèce, interjeté en temps utile auprès de l’autorité compétente par le prévenu qui a qualité pour recourir (art. 382 al. 1 CPP) et dans les formes prescrites (art. 385 al. 1 CPP), le recours est recevable.</w:t>
      </w:r>
    </w:p>
    <w:p>
      <w:r>
        <w:rPr>
          <w:b/>
        </w:rPr>
        <w:t>E. 2.1</w:t>
      </w:r>
    </w:p>
    <w:p>
      <w:r>
        <w:t>Le recourant conteste l’existence d’un risque de collusion d’une intensité suffisante pour justifier un refus d’exécution anticipée de peine. Rappelant qu’il est détenu depuis le 7 avril 2022, il relève que la motivation de la décision ne démontre pas en quoi son passage en exécution anticipée de peine aurait une influence sur la suite de la procédure. Il ajoute que l’instruction est terminée.</w:t>
      </w:r>
    </w:p>
    <w:p>
      <w:r>
        <w:rPr>
          <w:b/>
        </w:rPr>
        <w:t>E. 2.2</w:t>
      </w:r>
    </w:p>
    <w:p>
      <w:r>
        <w:t>Selon l'art. 236 al. 1 CPP, la direction de la procédure peut autoriser le prévenu à exécuter de manière anticipée une peine privative de liberté ou une mesure entraînant une privation de liberté si le stade de la procédure le permet. Le but de la disposition est d'offrir au détenu un régime d'exécution tenant compte notamment de sa situation et de lui assurer, le cas échéant, de meilleures chances de resocialisation (ATF 143 IV 160 consid. 2.1, JdT 2018 IV 3 ; TF 1B_107/2020 du 24 mars 2020 consid. 2.1). Dès l'entrée du prévenu dans l'établissement, l'exécution de la peine ou de la mesure commence et le prévenu est soumis au régime de l'exécution, sauf si le but de la détention provisoire ou de la détention pour des motifs de sûreté s'y oppose (art. 236 al. 4 CPP). L'art. 236 al. 1 in fine CPP suppose que le « stade de la procédure » concerné permette une exécution anticipée de la peine ou de la mesure. Ce stade correspond au moment à partir duquel la présence du prévenu n'est plus immédiatement nécessaire à l'administration des preuves : tel est en principe le cas lorsque l'instruction est sur le point d'être close. Cette restriction répond principalement à des besoins pratiques, en raison de l'éventuel éloignement géographique entre les lieux d'exécution de peine et ceux où a lieu l'administration des preuves (TF 1B_107/2020 précité ; TF 1B_372/2019 du 27 août 2019 consid. 2.1 et la référence citée). Même après ce stade, l'exécution anticipée de la peine doit être refusée lorsqu'un risque élevé de collusion demeure de sorte que le but de la détention et les besoins de l'instruction seraient compromis si le régime de l'exécution anticipée devait être mis en œuvre (TF 1B_449/2015 du 15 janvier 2016 consid. 2.3). Il appartient alors à l'autorité de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le régime d'exécution de peine du prévenu, même avec les mesures possibles de l'art. 236 al. 4 CPP, en compromettrait l'accomplissement (TF 1B_641/2022 du 12 janvier 2023 consid. 2.1; TF 1B_107/2020 précité ; TF 1B_186/2018 du 8 mai 2018 consid. 2.1 ; TF 1B_400/2017 du 18 octobre 2017 consid. 2.1). Un danger de collusion n’exclut cependant pas nécessairement la mise en place d’une exécution anticipée de peine. Cela étant, dans l’intérêt de l’instruction, ce motif de détention peut justifier alors de limiter certains allègements qu’offre ce régime (cf. art. 236 al. 4 CPP ; ATF 133 I 270). Celui-ci ne permet en effet pas de prévenir aussi efficacement d’éventuels actes de collusion que le régime qui prévaut en matière de détention provisoire proprement dite (TF 1B_641/2022 précité).</w:t>
      </w:r>
    </w:p>
    <w:p>
      <w:r>
        <w:rPr>
          <w:b/>
        </w:rPr>
        <w:t>E. 2.3</w:t>
      </w:r>
    </w:p>
    <w:p>
      <w:r>
        <w:t>En l’espèce, l’avancement de la procédure ne s’oppose pas à l’exécution anticipée de la peine, dès lors que l’instruction est close, sous la réserve de la procédure d’appel, dont les débats ne sont pas encore fixés. Le recourant a été condamné à une lourde peine privative de liberté. Le Tribunal criminel a considéré notamment qu’il faisait partie d’un réseau de criminalité organisée de type « Pink Panther » (cf. jugement du 14 août 2023, pp. 44, 66, 73, 77 et 80). S’il conteste certes son implication, notamment dans le cambriolage de [...], il a néanmoins été reconnu coupable de brigandage pour ce cas, comme son coprévenu [...]. Le troisième comparse est en fuite et ne sera vraisemblablement pas présent lors de l’audience d’appel. L’enquête est complète et les déclarations des victimes, témoins et prévenus ont été d’ores et déjà protocolées. Quant à [...], qui fait l’objet d’un mandat d’arrêt international, il doit savoir que ses comparses ont été arrêtés et qu’il est recherché. Partant, on voit mal où se situe le risque élevé et concret de collusion. Conformément à la jurisprudence susmentionnée (cf. supra consid. 2.2), il incombe à l’autorité de démontrer que les circonstances particulières de l’espèce font apparaitre un danger concret de manœuvres propres à entraver la manifestation de la vérité. Or, le premier juge ne procède à aucune démonstration à cet égard et, en particulier, n’indique pas que le recourant aurait déjà essayé de prendre contact, d’une manière ou d’une autre, avec ses comparses. Quant au fait que, sous le régime de l’exécution anticipée de peine, il pourrait prendre de telles contacts, on ne voit pas en quoi ceux-ci pourraient entraver la manifestation de la vérité, au vu de ce qui a été dit plus haut au sujet du stade d’avancement de l’affaire. Compte tenu de ce qui précède, en l’absence d’une démonstration de l’existence d’un risque élevé et concret de collusion à un stade ou l’instruction a été menée de manière complète, F.________ – qui avait passé 494 jours en détention provisoire lors du prononcé du jugement frappé d’appel – doit être autorisé à exécuter sa peine de manière anticipée dès qu’une place sera disponible dans un établissement approprié, sans autre condition.</w:t>
      </w:r>
    </w:p>
    <w:p>
      <w:r>
        <w:rPr>
          <w:b/>
        </w:rPr>
        <w:t>E. 3</w:t>
      </w:r>
    </w:p>
    <w:p>
      <w:r>
        <w:t>En définitive, le recours doit être admis et l’ordonnance entreprise réformée en ce sens que F.________ est autorisé à exécuter sa peine de manière anticipée dès qu’une place sera disponible dans un établissement approprié. Compte tenu de la nature de l’affaire et de l’acte de recours déposé, l’indemnité allouée au défenseur d’office de F.________ sera fixée sur la base d’honoraires de 540 fr., correspondant à une activité nécessaire d’avocat de trois heures au tarif horaire de 180 fr., montant auquel il convient d’ajouter des débours forfaitaires à concurrence de 2 % des honoraires admis (art. 3 bis al. 1 RAJ [règlement du 7 décembre 2010 sur l'assistance judiciaire en matière civile ; BLV 211.02.3], applicable par renvoi de l’art. 26b TFIP [tarif des frais de procédure et indemnités en matière pénale du 28 septembre 2010 ; BLV 312.03.1]), par 10 fr. 80, plus la TVA au taux de 7,7 %, par 42 fr. 40, soit à 594 fr. au total en chiffres arrondis. Vu l’admission du recours, les frais de la procédure, constitués en l’espèce de l’émolument d'arrêt, par 770 fr. (art. 20 al. 1 TFIP), ainsi que de l’indemnité allouée au défenseur d’office du recourant, fixée à 594 fr., seront laissés à la charge de l’Etat (art. 423 al. 1 et 428 al. 1 CPP). Par ces motifs, la Chambre des recours pénale prononce : I. Le recours est admis. II. L’ordonnance du 3 octobre 2023 est réformée en ce sens que F.________ est autorisé à exécuter sa peine de manière anticipée dès qu’une place sera disponible dans un établissement approprié. III. L’indemnité allouée à Me Véronique Fontana, défenseur d’office de F.________, est fixée à 594 fr. (cinq cent nonante-quatre francs). IV. Les frais d’arrêt, par 770 fr. (sept cent septante francs), ainsi que l’indemnité due au défenseur d’office de F.________, par 594 fr. (cinq cent nonante-quatre francs), sont laissés à la charge de l'Etat. V. L’arrêt est exécutoire. La présidente :               Le greffier : Du Le présent arrêt, dont la rédaction a été approuvée à huis clos, est notifié, par l'envoi d'une copie complète, à : - Me Véronique Fontana, avocate (pour F.________), - Ministère public central, et communiqué à : ‑ Mme la Procureure cantonale Strada, - Mme la Présidente du Tribunal d’arrondissement de Lausanne, - Mme la Présidente de la Cour d'appel pénale,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