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898 vom 28. November 2022</w:t>
      </w:r>
    </w:p>
    <w:p>
      <w:r>
        <w:t>VD Tribunal cantonal, 2022-11-28, FR</w:t>
      </w:r>
    </w:p>
    <w:p>
      <w:r>
        <w:rPr>
          <w:b/>
        </w:rPr>
        <w:t xml:space="preserve">Quelle: </w:t>
      </w:r>
      <w:r>
        <w:t>https://mcp.opencaselaw.ch/entscheid/vd_findinfo_898___________</w:t>
      </w:r>
    </w:p>
    <w:p>
      <w:r>
        <w:t>FR: VD_FINDINFO 898 du 28 novembre 2022</w:t>
      </w:r>
    </w:p>
    <w:p>
      <w:r>
        <w:t>IT: VD_FINDINFO 898 del 28 novembre 2022</w:t>
      </w:r>
    </w:p>
    <w:p>
      <w:pPr>
        <w:pStyle w:val="Heading2"/>
      </w:pPr>
      <w:r>
        <w:t>Regeste</w:t>
      </w:r>
    </w:p>
    <w:p>
      <w:r>
        <w:t>PAIX DES MORTS, VOL{DROIT PÉNAL}, DÉTENTION PROVISOIRE, RISQUE DE RÉCIDIVE, PLACEMENT À DES FINS D'ASSISTANCE | 139 ch. 1 CP, 144 CP, 186 CP, 262 CP, 19a ch. 1 LStup, 221 al. 1 let. c CPP (CH), 237 CPP (CH)</w:t>
      </w:r>
    </w:p>
    <w:p>
      <w:pPr>
        <w:pStyle w:val="Heading2"/>
      </w:pPr>
      <w:r>
        <w:t>Erwägungen</w:t>
      </w:r>
    </w:p>
    <w:p>
      <w:r>
        <w:rPr>
          <w:b/>
        </w:rPr>
        <w:t>E. 1</w:t>
      </w:r>
    </w:p>
    <w:p>
      <w:r>
        <w:t>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2.1</w:t>
      </w:r>
    </w:p>
    <w:p>
      <w:r>
        <w:t>;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1B_572/2021 du 5 novembre 2021 consid. 2.1 ; TF 1B_7/2020 du 24 janvier 2020 consid. 3.1).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1B_530/2022 du</w:t>
      </w:r>
    </w:p>
    <w:p>
      <w:r>
        <w:rPr>
          <w:b/>
        </w:rPr>
        <w:t>E. 2.7</w:t>
      </w:r>
    </w:p>
    <w:p>
      <w:r>
        <w:t>; TF 1B_570/2021 du 9 novembre 2021 consid. 3.1). Les infractions contre le patrimoine peuvent nuire dans une mesure importante à la société, mais ne portent en principe pas directement atteinte à la sécurité des lésés. Il peut seulement en aller autrement en cas d’infractions contre le patrimoine particulièrement graves (ATF 146 IV 136 consid. 2.2 ; ATF 143 IV 9 consid. 2.7). L’admission de l’atteinte grave à la sécurité implique pour les infractions contre le patrimoine que les lésés soient touchés de manière particulièrement grave, respectivement qu’ils soient touchés de manière similaire que par des actes de violence (ATF 146 IV 136 consid. 2.2 ; TF 1B_188/2022 du 9 mai 2022 consid. 3.1). Il y a notamment une mise en danger grave de la sécurité, lorsque des éléments concrets indiquent que le prévenu pourrait user de la violence lors d'infractions futures contre le patrimoine. Il en est ainsi en particulier si le prévenu a, lors de précédentes infractions contre le patrimoine, emmené une arme ou s'il en a fait usage (ATF 146 IV 136 consid. 2.5 ; TF 1B_188/2022 précité).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1B_570/2021 du 9 novembre 2021 consid. 3.1).</w:t>
      </w:r>
    </w:p>
    <w:p>
      <w:r>
        <w:rPr>
          <w:b/>
        </w:rPr>
        <w:t>E. 3</w:t>
      </w:r>
    </w:p>
    <w:p>
      <w:r>
        <w:t>Le recourant conteste l’existence de soupçons suffisants s’agissant de l’infraction d’atteinte à la paix des morts.</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w:t>
      </w:r>
    </w:p>
    <w:p>
      <w:r>
        <w:rPr>
          <w:b/>
        </w:rPr>
        <w:t>E. 3.2</w:t>
      </w:r>
    </w:p>
    <w:p>
      <w:r>
        <w:t>Aux termes de l'art. 262 ch. 1 al. 3 CP, est punissable d’atteinte à la paix des morts, celui qui profane un cadavre humain. La profanation se caractérise par le mépris et l'irrespect (ATF 129 IV 172C consid. 2.1 ; TF 6B_969/2009 du 25 janvier 2010 consid. 1.3). Le fait, pour une personne se trouvant dans une position de garant, de laisser un corps manifestement très abîmé, d’une personne décédée dans un tel état, alors qu’il n’existe pas ou plus de motif, tel qu’un ordre de l’autorité de ne pas toucher au corps, qui vienne justifier un tel comportement, dénote, si ce n’est du mépris, un grave manque de respect, lésant le sentiment de piété à l’égard du défunt et de ses proches et doit être considéré comme un acte de profanation (TF 6B_969/2009 du 25 janvier 2010 consid. 1.3).</w:t>
      </w:r>
    </w:p>
    <w:p>
      <w:r>
        <w:rPr>
          <w:b/>
        </w:rPr>
        <w:t>E. 3.3</w:t>
      </w:r>
    </w:p>
    <w:p>
      <w:r>
        <w:t>En l’espèce, il ressort du rapport d’autopsie du 22 février 2022 que la cause du décès de A.B.________ pourrait être d’origine naturelle dès lors qu’elle souffrait d’une grave pathologie cardiaque et qu’aucune lésion traumatique majeure ni intoxication aux substances recherchées n’ont été mises en évidence (p. 60, p. 49). Cela étant, il est constant que son corps est resté deux semaines dans l’appartement du recourant, sans que celui-ci n’avise quiconque du décès. En sa qualité de compagnon de la victime, il assumait une position de garant. En recouvrant son corps de couvertures et en le laissant s’altérer durant deux semaines, sans alerter les secours ni aucune personne de son entourage, tout en vivant dans l’appartement où se trouvait son amie décédée, le recourant a adopté un comportement du même type que celui décrit par la jurisprudence ( supra consid. 3.2). Il existe ainsi, à ce stade de la procédure, des indices suffisamment sérieux de culpabilité à l’encontre de N.________ pour justifier sa mise en détention provisoire, étant rappelé qu’il n’appartient pas au juge de la détention, mais au juge du fond, de procéder à une pesée complète des éléments à charge et à décharge. Pour le surplus, le recourant ne conteste pas, à juste titre, l’existence de soupçons suffisants s’agissant des infractions de vol, de tentative de vol, de vol d’importance mineure, de dommages à la propriété et de violation de domicile. En définitive, c’est à juste titre que le Tribunal des mesures de contrainte a retenu que la première condition fixée par l’art. 221 al. 1 CPP était réalisée.</w:t>
      </w:r>
    </w:p>
    <w:p>
      <w:r>
        <w:rPr>
          <w:b/>
        </w:rPr>
        <w:t>E. 4</w:t>
      </w:r>
    </w:p>
    <w:p>
      <w:r>
        <w:t>Le recourant conteste présenter un risque de réitération, soutenant qu’un tel risque serait invraisemblable compte tenu de la spécificité de l’infraction en cause, soit une atteinte à la paix des morts. Par ailleurs, il considère que ses antécédents, ainsi que les autres infractions contre le patrimoine qui lui sont reprochées, ne justifieraient pas une détention provisoire.</w:t>
      </w:r>
    </w:p>
    <w:p>
      <w:r>
        <w:rPr>
          <w:b/>
        </w:rPr>
        <w:t>E. 4.1</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ATF 146 IV 136 consid. 2.2, JdT 2020 IV 264 ; ATF 143 IV</w:t>
      </w:r>
    </w:p>
    <w:p>
      <w:r>
        <w:rPr>
          <w:b/>
        </w:rPr>
        <w:t>E. 4.2</w:t>
      </w:r>
    </w:p>
    <w:p>
      <w:r>
        <w:t>En l’occurrence, nonobstant la spécificité de l’infraction en cause, les faits sont très graves. En effet, N.________ a conservé le corps de son amie dans son appartement, durant deux semaines, le recouvrant de couvertures et le laissant s’abîmer, sans aviser quiconque du décès. Ces faits constituent une atteinte à la paix publique (cf. Titre 12 du Code pénal). Sur le plan de leur gravité et de leur qualification juridique, il est sans importance que le recourant ait agi, selon l’experte, en état d’irresponsabilité, la question d’une diminution totale ou partielle de la responsabilité n’exerçant une influence que sur l’appréciation de la culpabilité, la peine et l’éventuelle mesure qui pourrait être prononcée. A cela s’ajoute plusieurs vols et tentative de vols, des violations de domicile et des dommages à la propriété qui, s’ils relèvent de la petite délinquance, dénotent aussi chez l’intéressé une incapacité à respecter les normes pénales, comme en témoignent également les quatre condamnations dont il a fait l’objet depuis 2015, en particulier pour des infractions à la loi fédérale sur les stupéfiants, à la loi sur la circulation routière et de nature patrimoniale. On note par ailleurs une intensification de l’activité délictueuse, marquée par une augmentation de la fréquence des agissements et par une escalade dans la gravité des faits reprochés, étant relevé que le dossier mentionne également divers épisodes de violences physiques qui auraient été commises par le recourant à l’encontre de la victime, mais aussi de sa propre mère et de son mari (cf. P. 65, pp. 20 et 26-28). On relèvera encore, s’agissant des faits les plus graves, que les explications du recourant sont particulièrement inquiétantes et révèlent la gravité des troubles psychiatriques diagnostiqués (schizophrénie paranoïde sévère et continue, personnalité dyssociale et troubles mentaux et du comportement liés à l’utilisation de substances psychoactives multiples), notamment lorsqu’il déclare avoir « écouté la radio » aux côtés du corps de la victime, laquelle, selon sa perception, « lui parlait » et « bougeait encore », mentionnant de surcroît que des vers sortaient de sa peau et de ses ongles (PV audition 4, R. 10). De son côté, l’experte psychiatre a retenu que le risque de récidive devait être considéré comme « moyen à élevé », en précisant que le type d’infractions, dont la commission pourrait être redoutée, pouvait être lié au contenu des idées délirantes ou des perceptions altérées de la réalité et concerner autant les personnes que les choses. Dans un premier temps, elle a préconisé une mesure thérapeutique institutionnelle en milieu fermé, le recourant, anosognosique, ayant jusqu’ici mis en échec tous les autres traitements, notamment lors de placements à des fins d’assistance. Le recourant n’expose aucun élément concret qui permettrait de remettre en cause les conclusions de cette expertise. Il s’ensuit que la condition relative à l’existence d’un risque de réitération est réalisée au regard de la gravité des troubles psychiatriques présentés par N.________, qui n’a jamais pu adhérer à un suivi ambulatoire, de sa toxicomanie, de ses antécédents, de la suspicion de violences physiques commises sur des proches et la victime elle-même, et des conclusions de l’expertise psychiatrique. Au vu de ces éléments, on ne peut retenir qu’en cas de libération, le recourant se trouverait dans une situation propre à exclure de manière suffisante pour la sécurité d’autrui tout danger de récidive. En particulier, on peut sérieusement craindre que le recourant, en proie à des idées délirantes, s’en prenne physiquement à des personnes lors de la commission de délits, par exemple lors de vols tels que ceux qui lui sont reprochés dans le cas présent. En effet, au vu du profil psychiatrique décrit, on ne peut que craindre une réaction incontrôlée et violente, en particulier si le recourant se trouvait confronté à une situation dans laquelle il serait pris à partie par un tiers, en cas de vol par effraction ou dans une grande surface. Partant, on doit considérer que le risque de réitération est suffisamment important pour justifier la détention provisoire. 5. Le recourant considère qu’un placement à des fins d’assistance devrait être préféré à une détention provisoire, à charge pour le médecin d’assumer ses responsabilités et de prévoir, en cas de danger, une restriction de liberté. 5.1 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l'obligation de se soumettre à un traitement médical ou à des contrôles (let. f). En principe, sauf à être spécifiquement préconisé comme tel par les experts, le placement institutionnel n'a pas vocation à être ordonné à titre de mesures de substitution au sens de l'art. 237 CPP, mais est susceptible de faire l'objet d'une exécution anticipée (TF 1B_402/2020 du 21 août 2020 consid. 4.3.4 ; TF 1B_171/2019 du 8 mai 2019 consid. 3.1). 5.2 En l’occurrence, un traitement ambulatoire, voire un placement au sein d’une institution à titre de mesures de substitution - lequel n’est toutefois pas préconisé comme tel par l’experte -, doit d’emblée être écarté dès lors que le succès d’une telle mesure ne reposerait que sur la volonté du recourant de s’y soumettre, celui-ci ayant d’ores et déjà déclaré au procureur qu’il ne voulait pas être restreint dans sa liberté de mouvement (cf. PV audition 24, ll. 91-94). Au demeurant, on ignore quel établissement approprié serait susceptible de l’accueillir, l’intéressé ne fournissant aucun élément à ce sujet. De plus, au vu de la gravité des troubles psychiatriques diagnostiqués et de l’anosognosie du recourant, un éventuel engagement d’intégrer une structure de soins, ne présenterait, quoi qu’il en soit, aucune garantie suffisante. Pour le surplus, il n’appartient pas à l’autorité pénale, mais à la Justice de paix, d’ordonner un placement à des fins d’assistance au sens de l’art. 426 CC (CREP du 19 février 2021/160 consid. 4.3.1). En outre et surtout, un tel placement n’a pas pour motif la mise en danger d’autrui, même si la protection des tiers doit néanmoins être prise en compte dans l’appréciation de la situation (ATF 145 III 441 consid. 8.4, JdT 2019 II 371 ; ATF 138 III 593 consid. 3). Enfin, on ne voit pas que, compte tenu de l'intensité du risque de récidive redouté, d'autres mesures de substitution soient envisageables. 6. Sur le plan de la proportionnalité, l’irresponsabilité éventuelle du prévenu n’empêche pas la détention provisoire si une mesure, en l’occurrence institutionnelle en milieu fermé, est envisagée (cf. TF 1B_402/2020 du 21 août 2020 consid. 4.4.3). Cela étant, au vu de la gravité des faits reprochés, de la durée potentielle de la mesure institutionnelle et celle de la détention déjà subie - environ 6 mois à ce jour -, le principe de la proportionnalité demeure respecté sous l'angle temporel. On relèvera encore que, selon les informations transmises par le procureur, l’enquête est à bout touchant de sorte que le dossier pourra être transmis à brève échéance à l’autorité de jugement. 7. Au vu de ce qui précède, le recours, manifestement mal fondé, doit être rejeté sans échange d'écritures (art. 390 al. 2 CPP) et l'ordonnance du 4 novembre 2022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540 fr. sur la base d’une durée d’activité nécessaire d’avocat estimée à 3h00 au tarif horaire de 180 fr., auxquels il convient d’ajouter des débours forfaitaires à concurrence de 2 % (art. 3bis al. 1 RAJ [Règlement sur l’assistance judiciaire en matière civile du 7 décembre 2010 ; BLV 211.02.3], applicable par renvoi de l’art. 26b TFIP), par</w:t>
      </w:r>
    </w:p>
    <w:p>
      <w:r>
        <w:rPr>
          <w:b/>
        </w:rPr>
        <w:t>E. 9</w:t>
      </w:r>
    </w:p>
    <w:p>
      <w:r>
        <w:t>consid. 2.5 ; TF 1B_176/2022 du 21 avril 2022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 146 IV 326 consid. 3.1 ; ATF 137 IV 13 consid. 3 et 4).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(ATF 146 IV 326 consid. 3.1 ; ATF 143 IV 9 consid. 2.6 et</w:t>
      </w:r>
    </w:p>
    <w:p>
      <w:r>
        <w:rPr>
          <w:b/>
        </w:rPr>
        <w:t>E. 10</w:t>
      </w:r>
    </w:p>
    <w:p>
      <w:r>
        <w:t>fr. 80, et la TVA, par 42 fr. 40,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4 novembre 2022 est confirmée. III. L’indemnité allouée au défenseur d’office de N.________ est fixée à 594 fr. (cinq cent nonante-quatre francs). IV. Les frais d’arrêt, par 1’540 fr. (mille cinq cent quarante francs), ainsi que l’indemnité due au défenseur d’office de N.________, par 594 fr. (cinq cent nonante-quatre francs), sont mis à la charge de ce dernier. V. Le remboursement à l’Etat de l’indemnité allouée au chiffre III ci-dessus ne sera exigible que pour autant que la situation financière de N.________ le permette. VI. L’arrêt est exécutoire. La présidente :               Le greffier : Du Le présent arrêt, dont la rédaction a été approuvée à huis clos, est notifié, par l'envoi d'une copie complète, à : - Me Stephen Gintzburger, avocat (pour N.________), - Ministère public central, et communiqué à : ‑ Mme la Présidente du Tribunal des mesures de contrainte, - M. le Procureur de l’arrondissement de l’Est vaudois, - Me Coralie Devaud, avocate (pour B.B.________),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