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895 vom 25. November 2022</w:t>
      </w:r>
    </w:p>
    <w:p>
      <w:r>
        <w:t>VD Tribunal cantonal, 2022-11-25, FR</w:t>
      </w:r>
    </w:p>
    <w:p>
      <w:r>
        <w:rPr>
          <w:b/>
        </w:rPr>
        <w:t xml:space="preserve">Quelle: </w:t>
      </w:r>
      <w:r>
        <w:t>https://mcp.opencaselaw.ch/entscheid/vd_findinfo_895___________</w:t>
      </w:r>
    </w:p>
    <w:p>
      <w:r>
        <w:t>FR: VD_FINDINFO 895 du 25 novembre 2022</w:t>
      </w:r>
    </w:p>
    <w:p>
      <w:r>
        <w:t>IT: VD_FINDINFO 895 del 25 novembre 2022</w:t>
      </w:r>
    </w:p>
    <w:p>
      <w:pPr>
        <w:pStyle w:val="Heading2"/>
      </w:pPr>
      <w:r>
        <w:t>Regeste</w:t>
      </w:r>
    </w:p>
    <w:p>
      <w:r>
        <w:t>ORDONNANCE DE CLASSEMENT, QUALITÉ POUR RECOURIR, DÉCISION D'IRRECEVABILITÉ | 251 CP, 382 al. 1 CPP (CH)</w:t>
      </w:r>
    </w:p>
    <w:p>
      <w:pPr>
        <w:pStyle w:val="Heading2"/>
      </w:pPr>
      <w:r>
        <w:t>Erwägungen</w:t>
      </w:r>
    </w:p>
    <w:p>
      <w:r>
        <w:rPr>
          <w:b/>
        </w:rPr>
        <w:t>E. 1</w:t>
      </w:r>
    </w:p>
    <w:p>
      <w:r>
        <w:t>CPP, toute partie qui a un intérêt juridiquement protégé à l’annulation ou à la modification de la décision querellée a qualité pour recourir contre celle-ci. Il existe un intérêt juridiquement protégé lorsque le recourant est touché directement et immédiatement dans ses droits propres ; le recourant doit ainsi établir que la décision attaquée viole une règle de droit qui a pour but de protéger ses intérêts et qu’il peut en conséquence en déduire un droit objectif ; une partie qui n’est pas concrètement lésée par la décision ne possède donc pas la qualité pour recourir (ATF 145 IV 161 consid. 3.1 ; ATF 141 IV 1 consid. 3.1). Les droits touchés sont les biens juridiques individuels tels que la vie et l'intégrité corporelle, la propriété, l'honneur, etc. (ATF 141 IV 1 consid. 3.1). Lorsque l’infraction protège en première ligne l’intérêt collectif, les particuliers ne sont considérés comme lésés que s’ils sont atteints dans leurs droits par l’infraction décrite et que cette atteinte est la conséquence directe du comportement répréhensible (ATF 141 IV 454 consid. 2.3.1 ; ATF 140 IV 155 consid. 3.2, JdT 2015 IV 107 ; ATF 129 IV 95 consid. 3.1 et les réf. citées ; Perrier Depeursinge, in : Jeanneret/Kuhn/Perrier Depeursinge [éd.], Commentaire romand, Code de procédure pénale suisse, 2 e éd., Bâle 2019, n. 11 ad art. 115 CPP). Un dommage n’est pas nécessaire pour être lésé au sens de l’art. 115 CPP. L’atteinte directe selon cette disposition se rapporte à la violation du droit pénal et non à un dommage (ATF 139 IV 78 consid. 3.3.3 ; TF 6B_752/2020 du 8 juin 2021 consid. 2.2). Pour être directement touché, le lésé doit en outre subir une atteinte en rapport de causalité directe avec l'infraction poursuivie, ce qui exclut les dommages par ricochet (TF 6B_996/2021 du 31 mai 2022 consid. 1.1 ; TF 6B_794/2021 du 21 mars 2022 consid. 1.1). Par ailleurs, le recourant doit avoir un intérêt actuel et pratique au recours, respectivement à l’examen des griefs soulevés (ATF 146 II 335 consid. 1.3 ; ATF 142 I 135 consid. 1.3.1 ; TF 1B_550/2021 du 13 janvier 2022 consid. 3.2). Faute d’intérêt juridiquement protégé, le recours est irrecevable (ATF 144 IV 81 consid. 2.3.1).</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1.2.1</w:t>
      </w:r>
    </w:p>
    <w:p>
      <w:r>
        <w:t>Conformément à l’art. 382 al.</w:t>
      </w:r>
    </w:p>
    <w:p>
      <w:r>
        <w:rPr>
          <w:b/>
        </w:rPr>
        <w:t>E. 1.2.2</w:t>
      </w:r>
    </w:p>
    <w:p>
      <w:r>
        <w:t>L'art. 251 CP protège, en tant que bien juridique, d'une part, la confiance particulière placée dans un titre ayant valeur probante dans les rapports juridiques et, d'autre part, la loyauté dans les relations commerciales (ATF 142 IV 119 consid. 2.2 et les réf. citées). Cette disposition vise d'abord un bien juridique collectif (TF 6B_1289/2015 du 20 juin 2016 consid. 2.3). Toutefois, le faux dans les titres peut également porter atteinte à des intérêts individuels, en particulier lorsqu'il vise précisément à nuire à un particulier (ATF 140 IV 155 consid. 3.3.3 ; ATF 119 Ia 342 consid. 2b et les réf. citées, JdT 1995 IV 186). Tel est le cas lorsque le faux est l'un des éléments d'une infraction contre le patrimoine, la personne dont le patrimoine est menacé ou atteint ayant alors la qualité de lésé (ATF 119 Ia 342 consid. 2b ; TF 6B_1185/2019 du 13 janvier 2020 consid. 2.2 ; TF 6B_1051/2018 du 19 décembre 2018 consid. 1.2.1 ; TF 6B_635/2018 du 24 octobre 2018 consid. 1.1.2).</w:t>
      </w:r>
    </w:p>
    <w:p>
      <w:r>
        <w:rPr>
          <w:b/>
        </w:rPr>
        <w:t>E. 1.3</w:t>
      </w:r>
    </w:p>
    <w:p>
      <w:r>
        <w:t>En l’espèce, le recours de D.________ AG a été déposé en temps utile, auprès de l’autorité compétente et dans les formes prescrites (cf. art. 385 al. 1 CPP). Cela étant, dans la mesure où la recourante fait valoir que le comportement de Q.________ réaliserait les éléments constitutifs de l’infraction de faux dans les titres, et que l’art. 251 CP vise d’abord à protéger un intérêt collectif, il lui incombait d’établir que les agissements dénoncés avaient directement lésé ses propres intérêts. Or, la recourante ne le démontre pas. Elle ne soutient pas, en particulier, que l’usage par le prévenu de son adresse électronique et d’une signature électronique mentionnant qu’il occupait la position de directeur de l’école alors qu’il n’était plus son employé aurait porté atteinte à sa réputation ou à sa renommée. Elle n’affirme pas non plus que le mandat obtenu par le prévenu en Turquie aurait été conclu à son détriment. Tout au plus évoque-t-elle, sans chercher à l’établir, la possibilité que des intervenants de l’ International Baccalaureate aient transmis à Q.________ certaines informations qui auraient potentiellement dû être transmises à l’école, respectivement à ses réels dirigeants. Or, on ne saurait admettre l’existence d’un intérêt juridiquement protégé sur la base de cette simple supposition. Il s’ensuit que le recours doit être déclaré irrecevable.</w:t>
      </w:r>
    </w:p>
    <w:p>
      <w:r>
        <w:rPr>
          <w:b/>
        </w:rPr>
        <w:t>E. 2.1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 Le faux dans les titres est une infraction intentionnelle. L’intention doit porter sur tous les éléments constitutifs de l’infraction. Le dol éventuel suffit (ATF 141 IV 369 consid. 7.4, JdT 2016 IV 160). Ainsi, l’auteur doit être conscient que le document est un titre et savoir que le contenu ne correspond pas à la vérité. Enfin, il doit avoir voulu (faire) utiliser le titre en le faisant passer pour véridique, ce qui présuppose l’intention de tromper (ATF 135 IV 12 consid. 2.2, JdT 2010 IV 139). L’art. 251 CP exige en outre un dessein spécial, qui peut se présenter sous deux formes alternatives, à savoir le dessein de porter atteinte aux intérêts pécuniaires ou aux droits d’autrui, ou le dessein de se procurer ou de procurer à un tiers un avantage illicite. L'avantage recherché, respectivement l'atteinte, doit précisément résulter de l'usage du titre faux, respectivement mensonger (ATF 141 IV 369 consid. 7.4 ; ATF 138 IV 130 consid. 3.2.4 et les réf. citées, JdT 2013 IV 46).</w:t>
      </w:r>
    </w:p>
    <w:p>
      <w:r>
        <w:rPr>
          <w:b/>
        </w:rPr>
        <w:t>E. 2.2</w:t>
      </w:r>
    </w:p>
    <w:p>
      <w:r>
        <w:t>En l’occurrence, Q.________ a déclaré qu’il avait été autorisé à conserver l’accès à son adresse électronique professionnelle après son licenciement (PV aud. 1, R. 6 p. 4). Cette allégation est certes contestée par la recourante (cf. P. 14/0). La réaction du prévenu au moment où cet accès lui a finalement été retiré démontre toutefois qu’il était à tout le moins persuadé qu’il avait le droit de continuer à utiliser l’adresse électronique de l’école. Q.________ a en effet écrit à P.________, par courriels du 5 mars 2021, soit le lendemain du retrait des accès à son adresse électronique de l’Ecole [...], ce qui suit : « I saw you cut my email address. I was in the middle of an IB visit in Turkey which is not convenient. I guess I’ll deal with it. I would have loved you telling me first since you told me I could keep it for a year after I left and I had all my IB documents for the visit on there… (…) » , puis : « You could at least have told me before so I could transfer my documents for the visit. This is making things complicated in the middle of the visit. You clearly told me that I could keep using that email for those purposes for as long as I wished (…) » (P. 5/26). On ne voit ainsi pas pourquoi le prévenu se serait ouvertement étonné de la suppression de ses accès auprès de son ancien employeur, en soulignant qu’il aurait apprécié en être préalablement informé, s’il n’avait pas eu la conviction que cet usage lui était jusqu’alors autorisé. On peut donc exclure toute intention dolosive. L’un des éléments constitutifs du faux dans les titres faisant défaut, l’infraction ne peut pas être réalisée. C’est ainsi à juste titre que le Ministère public a ordonné le classement de la procédure. A supposer recevable, le recours aurait dès lors de toute manière dû être rejeté pour ce motif.</w:t>
      </w:r>
    </w:p>
    <w:p>
      <w:r>
        <w:rPr>
          <w:b/>
        </w:rPr>
        <w:t>E. 3</w:t>
      </w:r>
    </w:p>
    <w:p>
      <w:r>
        <w:t>Il résulte de ce qui précède que le recours doit être déclaré irrecevable, sans échange d’écritures (cf. art. 390 al. 2 CPP). Les frais de la procédure de recours, constitués du seul émolument d’arrêt (cf. art. 422 al. 1 CPP), par 770 fr. (cf. art. 20 al. 1 TFIP [Tarif des frais de procédure et indemnités en matière pénale du 28 septembre 2010 ; BLV 312.03.1]), seront mis à la charge de la recourante, qui est réputée avoir succombé (cf. art. 428 al. 1, 2 e phrase, CPP). Par ces motifs, la Chambre des recours pénale prononce : I. Le recours est irrecevable. II. Les frais d’arrêt, par 770 fr. (sept cent septante francs), sont mis à la charge de D.________ AG. III. L’arrêt est exécutoire. La présidente : La greffière : Du Le présent arrêt, dont la rédaction a été approuvée à huis clos, est notifié, par l'envoi d'une copie complète, à : - Me Xavier Diserens, avocat (pour D.________ AG), - Me Miriam Mazou, avocate (pour Q.________),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