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864 vom 28. Oktober 2022</w:t>
      </w:r>
    </w:p>
    <w:p>
      <w:r>
        <w:t>VD Tribunal cantonal, 2022-10-28, FR</w:t>
      </w:r>
    </w:p>
    <w:p>
      <w:r>
        <w:rPr>
          <w:b/>
        </w:rPr>
        <w:t xml:space="preserve">Quelle: </w:t>
      </w:r>
      <w:r>
        <w:t>https://mcp.opencaselaw.ch/entscheid/vd_findinfo_864___________</w:t>
      </w:r>
    </w:p>
    <w:p>
      <w:r>
        <w:t>FR: VD_FINDINFO 864 du 28 octobre 2022</w:t>
      </w:r>
    </w:p>
    <w:p>
      <w:r>
        <w:t>IT: VD_FINDINFO 864 del 28 ottobre 2022</w:t>
      </w:r>
    </w:p>
    <w:p>
      <w:pPr>
        <w:pStyle w:val="Heading2"/>
      </w:pPr>
      <w:r>
        <w:t>Regeste</w:t>
      </w:r>
    </w:p>
    <w:p>
      <w:r>
        <w:t>DÉCISION D'IRRECEVABILITÉ, SIGNATURE | 110 al. 1 CPP (CH), 110 al. 4 CPP (CH), 396 al. 1 CPP (CH)</w:t>
      </w:r>
    </w:p>
    <w:p>
      <w:pPr>
        <w:pStyle w:val="Heading2"/>
      </w:pPr>
      <w:r>
        <w:t>Erwägungen</w:t>
      </w:r>
    </w:p>
    <w:p>
      <w:r>
        <w:rPr>
          <w:b/>
        </w:rPr>
        <w:t>E. 1.1</w:t>
      </w:r>
    </w:p>
    <w:p>
      <w:r>
        <w:t>Une ordonnance de classement rendue par le Ministère public en application des art. 319 ss CPP est susceptible de recours selon les art. 393 ss CPP (cf. CREP 13 avril 2015/243 ; CREP 2 avril 2015/139),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BLV 173.01]).</w:t>
      </w:r>
    </w:p>
    <w:p>
      <w:r>
        <w:rPr>
          <w:b/>
        </w:rPr>
        <w:t>E. 1.2</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 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2</w:t>
      </w:r>
    </w:p>
    <w:p>
      <w:r>
        <w:t>En l’espèce, la demande de mise en conformité du 7 octobre 2022 a été valablement notifiée à T.________ conformément à l’art. 85 al. 2 CPP. Elle a été envoyée en recommandé à l’adresse figurant sur l’acte de recours (P. 36). Un avis de retrait a été distribué à T.________ le 10 octobre 2022. Le 17 octobre suivant, cette dernière a ordonné la prolongation du délai de garde de ce pli auprès de la Poste, qui a dès lors été repoussé au 7 novembre 2022. Le pli a été retiré le 2 novembre 2022. Il résulte de ce qui précède que la reourante, partie à la procédure de recours, devait s’attendre à la remise d’un pli ; en application de l’art. 85 al. 4 let. a CPP, le pli du 7 octobre 2022 est réputé lui avoir été notifié le 17 octobre 2022, date d’échéance du délai de garde de sept jours, la prolongation de ce délai par le destinataire étant sans portée à cet égard (ATF 141 II 429 consid. 3.1 ; ATF 127 I 31 consid. 2b ; TF 1B_165/2019 du 16 avril 2019 consid. 2 et les réf. cit.). Dans ces conditions, la recourante n’a pas donné suite à la demande de mise en conformité dans le délai imparti. Le recours du 3 octobre 2022, non signé, ne répond donc pas aux exigences prévues par les art. 110 al. 1 et 396 al. 1 CPP. Il doit être déclaré irrecevable.</w:t>
      </w:r>
    </w:p>
    <w:p>
      <w:r>
        <w:rPr>
          <w:b/>
        </w:rPr>
        <w:t>E. 3</w:t>
      </w:r>
    </w:p>
    <w:p>
      <w:r>
        <w:t>Les frais de la procédure de recours, constitués en l'espèce du seul émolument d'arrêt, par 440 fr. (art. 422 al. 1 CPP et 20 al. 1 TFIP [Tarif des frais de procédure et indemnités en matière pénale du 28 septembre 2010 ; BLV 312.03.1]), seront laissés à la charge de l’Etat, dans la mesure où l’auteur du recours ne peut pas être déterminé avec certitude.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