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851 vom 16. Dezember 2022</w:t>
      </w:r>
    </w:p>
    <w:p>
      <w:r>
        <w:t>VD Tribunal cantonal, 2022-12-16, FR</w:t>
      </w:r>
    </w:p>
    <w:p>
      <w:r>
        <w:rPr>
          <w:b/>
        </w:rPr>
        <w:t xml:space="preserve">Quelle: </w:t>
      </w:r>
      <w:r>
        <w:t>https://mcp.opencaselaw.ch/entscheid/vd_findinfo_851___________</w:t>
      </w:r>
    </w:p>
    <w:p>
      <w:r>
        <w:t>FR: VD_FINDINFO 851 du 16 décembre 2022</w:t>
      </w:r>
    </w:p>
    <w:p>
      <w:r>
        <w:t>IT: VD_FINDINFO 851 del 16 dicembre 2022</w:t>
      </w:r>
    </w:p>
    <w:p>
      <w:pPr>
        <w:pStyle w:val="Heading2"/>
      </w:pPr>
      <w:r>
        <w:t>Regeste</w:t>
      </w:r>
    </w:p>
    <w:p>
      <w:r>
        <w:t>SEMI-DÉTENTION | 77b CP</w:t>
      </w:r>
    </w:p>
    <w:p>
      <w:pPr>
        <w:pStyle w:val="Heading2"/>
      </w:pPr>
      <w:r>
        <w:t>Erwägungen</w:t>
      </w:r>
    </w:p>
    <w:p>
      <w:r>
        <w:rPr>
          <w:b/>
        </w:rPr>
        <w:t>E. 1.1</w:t>
      </w:r>
    </w:p>
    <w:p>
      <w:r>
        <w:t>Aux termes de l'art. 38 al. 1 LEP (Loi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le recours a été interjeté en temps utile, auprès de l'autorité compétente, par le condamné qui a qualité pour recourir (art. 382 al. 1 CPP), de sorte qu’il est recevable. Les pièces nouvelles produites sont également recevables (art. 390 al. 4 in fine CPP).</w:t>
      </w:r>
    </w:p>
    <w:p>
      <w:r>
        <w:rPr>
          <w:b/>
        </w:rPr>
        <w:t>E. 2.1</w:t>
      </w:r>
    </w:p>
    <w:p>
      <w:r>
        <w:t>Le recourant conteste le refus de l’OEP de lui accorder le bénéfice du régime de la semi-détention. Il fait en substance valoir que stage prévu par le contrat produit est de nature à favoriser son insertion professionnelle future. Il soutient que le contrat a été « conclu avant sa mise en semi-détention » (sic). Le recourant expose avoir entamé une réinsertion professionnelle avec l’AI, son état de santé ne lui permettant plus de pratiquer son métier de peintre en bâtiment. Il serait particulièrement à l’aise avec les outils d’ingénierie en son, la photographie, ainsi qu’avec les logiciels de montage photos et vidéos. Il se dit persuadé d’avoir de bonnes compétences pour travailler dans un service de marketing et communication et il aurait pour objectif de lancer sa propre agence de production. Dans cette perspective, il aurait approché plusieurs entreprises et l’une d’entre elles, [...], lui aurait proposé un stage pouvant aboutir à un emploi fixe dans le domaine de la communication. Le début de cette activité dépendait uniquement de son état de santé et il devrait donc être admis que ce stage avait été convenu avant son interpellation. Il a produit des certificats médicaux faisant état d’une incapacité de travail à 100 % du 6 mai au 4 novembre 2022, un certificat médical du 14 juin 2022 de son médecin de famille attestant que son état de santé ne lui permettait pas de faire « la physio, ni son stage et ce depuis le 28.04.2022 et pour une durée indéterminée », ainsi qu’une « [l] ettre de soutien » du 30 octobre 2022 de son nouvel employeur. Enfin, il a produit le contrat de travail conclu avec [...] le 30 octobre 2022, pour une durée indéterminée dès le 7 novembre 2022, avec période d’essai jusqu’au 6 février 2023.</w:t>
      </w:r>
    </w:p>
    <w:p>
      <w:r>
        <w:rPr>
          <w:b/>
        </w:rPr>
        <w:t>E. 2.2.1</w:t>
      </w:r>
    </w:p>
    <w:p>
      <w:r>
        <w:t>Aux termes de l'art. 77b al. 1 CP (Code pénal suisse du 21 décembre 1937 ; RS 311.0), une peine privative de liberté de douze mois au plus, ou un solde de peine de six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S’agissant de la première condition, le Tribunal fédéral a précisé qu’il fallait prendre en compte la peine globale infligée par le tribunal et non pas seulement celle à exécuter ; on parle ainsi de peine brute (« Bruttostrafe » ; TF 6B_874/2016 du 25 octobre 2016 consid. 2.2 ; TF 6B_222/2008 du 27 mai 2008 consid. 1.3 in fine ; contra, mais plus ancien, cf. TF 6B_668/2007 du 15 avril 2008 ; Keller, in : Basler Kommentar, Strafrecht I, 4 e éd. 2019, nn. 7 et 8 ad art. 77b CP). On ne voit en effet pas pour quels motifs il y aurait lieu de s’écarter du texte légal, et en particulier de lui conférer une interprétation différente de celle qui est donnée pour le travail d’intérêt général (cf. art. 79a CP) ou pour la surveillance électronique (cf. art. 79b CP). Les motifs sécuritaires valent de manière égale et indifférenciée pour ces trois formes d’exécution des peines. En application du principe de la force dérogatoire du droit fédéral, les cantons ne peuvent pas soumettre le régime de la semi-détention à des conditions plus sévères que celles posées par l’art. 77b CP (ATF 145 IV 10 consid. 2.3).</w:t>
      </w:r>
    </w:p>
    <w:p>
      <w:r>
        <w:rPr>
          <w:b/>
        </w:rPr>
        <w:t>E. 2.2.2</w:t>
      </w:r>
    </w:p>
    <w:p>
      <w:r>
        <w:t>L’art. 2 RSD (Règlement concordataire sur l’exécution des peines sous la forme de la semi-détention du 20 décembre 2017 ; BLV 340.95.3) dispose que, pendant l'exécution de la semi-détention, la personne détenue continue son activité ou son travail à l'extérieur de l'établissement aux conditions fixées par l'établissement (al. 1). Elle passe ses heures de loisirs et de repos dans l'établissement (al. 2). L’art . 5 al. 1 RSD précise notamment que, pour bénéficier de la semi-détention, la personne condamnée doit en avoir fait la demande (let. a), ne pas présenter de risque de fuite (let. b) ni de risque de réitération (let. c), poursuivre une activité professionnelle ou une formation reconnue avec un taux d’occupation d’au moins 20 heures par semaine (let. f) et présenter des garanties quant au respect des conditions-cadre de la semi-détention et du règlement de l’établissement d’exécution (let. g).</w:t>
      </w:r>
    </w:p>
    <w:p>
      <w:r>
        <w:rPr>
          <w:b/>
        </w:rPr>
        <w:t>E. 2.3</w:t>
      </w:r>
    </w:p>
    <w:p>
      <w:r>
        <w:t>En l’espèce, le recourant a été condamné à une peine privative de liberté d’une durée brute de quinze mois. Pour ce premier motif, il n’est pas éligible à l’exécution de sa peine sous la forme de la semi-détention, si l’on en croit la jurisprudence précitée du Tribunal fédéral. Au surplus, le recourant a été placé sous mandat d’arrêt et interpellé, puis incarcéré, le 19 octobre 2022, alors qu’il n’avait pas respecté un ordre d’exécution de peine du 19 février 2021 avec effet au 18 mai 2021. Il n’exerçait alors aucune activité professionnelle, pas plus qu’il n’avait une autre activité avec un taux d’occupation d’au moins 20 heures par semaine. Le dossier ne contient pas non plus de demande préalable de sa part, tendant à pouvoir bénéficier du régime de la semi-détention. Partant, la condition de la poursuite d’une activité professionnelle ou d’une autre activité au sens des art. 77b CP et 5 let. f RSD n’était d’emblée pas réalisée. Ce motif suffit à dénier tout droit au régime de la semi-détention. Contrairement à ce que plaide le recourant, le régime de la semi-détention n’a pas pour but la réinsertion professionnelle du condamné, mais uniquement celui de faire en sorte que le détenu conserve l’emploi ou l’activité qu’il exerçait avant son incarcération, cette condition n’étant pas réalisée en l’espèce. Le fait que le recourant ait conclu un contrat de stage quelques jours après son incarcération, puis un contrat de travail pendant l’exécution de ses peines n’y change rien (cf., dans un cas analogue, CREP 26 mars 2021/297). Enfin, le contrat de stage que le condamné a produit à l’appui de sa demande de pouvoir bénéficier du régime de la semi-détention – seul contrat au dossier produit avant la décision attaquée – ne contient aucune précision sur la durée de son activité. Il n’est donc pas établi que le taux d’occupation était d’au moins 20 heures par semaine, comme l’impose l’art. 5 al. 1 let. f RSD. Au vu de ce qui précède, c'est dès lors à bon droit que l'autorité intimée a considéré a refusé l'exécution de la peine sous le régime de la semi-détention.</w:t>
      </w:r>
    </w:p>
    <w:p>
      <w:r>
        <w:rPr>
          <w:b/>
        </w:rPr>
        <w:t>E. 3</w:t>
      </w:r>
    </w:p>
    <w:p>
      <w:r>
        <w:t>Au vu de ce qui précède, le recours, manifestement mal fondé, doit être rejeté sans échange d’écritures (art. 390 al. 2 CPP) et la décision du 28 octobre 2022 confirmée. Les frais de la procédure de recours, constitués en l’espèce de l’émolument d'arrêt, par 770 fr. (art. 20 al. 1 TFIP [Tarif des frais judiciaires de procédure et indemnités en matière pénale du 28 septembre 2010 ; BLV 312.03.1]), seront mis à la charge du recourant, qui succombe (cf. art. 428 al. 1 CPP). Par ces motifs, la Chambre des recours pénale prononce : I. Le recours est rejeté. II. La décision du 28 octobre 2022 est confirmée. III. Les frais d’arrêt, par 770 fr. (sept cent septante francs), sont mis à la charge de Z.________. IV. L’arrêt est exécutoire. La présidente :               Le greffier : Du Le présent arrêt, dont la rédaction a été approuvée à huis clos, est notifié, par l'envoi d'une copie complète, à : - M. Z.________,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