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846 vom 29. Dezember 2022</w:t>
      </w:r>
    </w:p>
    <w:p>
      <w:r>
        <w:t>VD Tribunal cantonal, 2022-12-29, FR</w:t>
      </w:r>
    </w:p>
    <w:p>
      <w:r>
        <w:rPr>
          <w:b/>
        </w:rPr>
        <w:t xml:space="preserve">Quelle: </w:t>
      </w:r>
      <w:r>
        <w:t>https://mcp.opencaselaw.ch/entscheid/vd_findinfo_846___________</w:t>
      </w:r>
    </w:p>
    <w:p>
      <w:r>
        <w:t>FR: VD_FINDINFO 846 du 29 décembre 2022</w:t>
      </w:r>
    </w:p>
    <w:p>
      <w:r>
        <w:t>IT: VD_FINDINFO 846 del 29 dicembre 2022</w:t>
      </w:r>
    </w:p>
    <w:p>
      <w:pPr>
        <w:pStyle w:val="Heading2"/>
      </w:pPr>
      <w:r>
        <w:t>Regeste</w:t>
      </w:r>
    </w:p>
    <w:p>
      <w:r>
        <w:t>ACCIDENT DE LA CIRCULATION, PRIORITÉ{CIRCULATION}, LÉSION CORPORELLE PAR NÉGLIGENCE, ADMISSION DE LA DEMANDE | 125 CP, 26 al. 1 LCR, 31 al. 1 LCR, 36 al. 2 LCR, 14 OCR,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la partie plaignante qui a qualité pour recourir (art. 382 al. 1 CPP) et satisfaisant aux conditions de forme prescrites (art. 385 al. 1 CPP), le recours de M.________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et les références citées). Pour déterminer plus précisément les devoirs imposés par la prudence, on peut se référer à des normes édictées par l'ordre juridique pour assurer la sécurité et éviter des accidents (ATF 143 IV 138 consid. 2.1). S'agissant en particulier d'un accident de la route, il convient de se référer aux règles de la circulation routière (ATF 126 IV 91 consid. 4a/aa ; TF 6B_1081/2021 précité ; TF 6B_33/2021 précité). Une des conditions essentielles pour l’existence d’une violation d’un devoir de prudence et, partant, d’une responsabilité pénale fondée sur la négligence, est la prévisibilité du résultat. Pour l’auteur, le déroulement des évènements jusqu’au résultat doit être prévisible, au moins dans les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l’évènement considéré, reléguant à l’arrière-plan tous les autres facteurs qui ont contribué à amener celui-ci, notamment le comportement de l’auteur (ATF 143 III 242 consid. 3.7 ; ATF 134 IV 255 consid. 4.4.2 ; ATF 133 IV 158 consid. 6.1 ; ATF 131 IV 145 consid. 5.2. ; cf. en matière de circulation routière : ATF 127 IV 34 consid. 2a ; TF 6B_1280/2019 du 5 février 2020 consid. 4.1).</w:t>
      </w:r>
    </w:p>
    <w:p>
      <w:r>
        <w:rPr>
          <w:b/>
        </w:rPr>
        <w:t>E. 3</w:t>
      </w:r>
    </w:p>
    <w:p>
      <w:r>
        <w:t>Le recourant met en cause la vitesse du véhicule conduit par G.________ retenue par le Ministère public. Il invoque l’importance du déplacement latéral de son propre véhicule, soit 4,5 mètres selon lui, et du choc entre les deux voitures. Il en déduit plusieurs « possibilités plausibles » : premièrement, il soutient que la vitesse du véhicule conduit par G.________ pouvait être de 80 km/h, mais il écarte toutefois cette première hypothèse en indiquant que, dans ce cas, il aurait vu ledit véhicule puisqu’il avait regardé, au moment de s’engager, « à environ 90 à 100 mètres » à sa droite. Il expose que, pour parcourir cette distance à cette vitesse, la conductrice aurait eu besoin de</w:t>
      </w:r>
    </w:p>
    <w:p>
      <w:r>
        <w:rPr>
          <w:b/>
        </w:rPr>
        <w:t>E. 3.1.1</w:t>
      </w:r>
    </w:p>
    <w:p>
      <w:r>
        <w:t>L'art. 125 al. 1 CP (Code pénal suisse du 21 décembre 1937 ; RS 311.0) réprime le comportement de celui qui, par négligence, aura fait subir à une personne une atteinte à l'intégrité corporelle ou à la santé. Si la lésion est grave, le délinquant sera poursuivi d'office (art. 125 al. 2 CP).  La réalisation de cette infraction suppose la réunion de trois éléments constitutifs, à savoir une négligence imputable à l'auteur, des lésions corporelles subies par la victime, ainsi qu'un lien de causalité naturelle et adéquate entre la négligence et les lésions (TF 6B_1081/2020 du 17 novembre 2021 consid. 1 ; TF 6B_33/2021 du 12 juillet 202 consid. 3.1 ; TF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w:t>
      </w:r>
    </w:p>
    <w:p>
      <w:r>
        <w:rPr>
          <w:b/>
        </w:rPr>
        <w:t>E. 3.1.2</w:t>
      </w:r>
    </w:p>
    <w:p>
      <w:r>
        <w:t>A teneur de l'art. 31 al. 1 LCR (Loi fédérale sur la circulation routière du 19 décembre 1958 ; RS 741.01), le conducteur devra rester constamment maître de son véhicule de façon à pouvoir se conformer aux devoirs de la prudence. L'art. 3 al. 1 OCR (Ordonnance sur les règles de la circulation routière du 13 novembre 1962;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1C_135/2022 du 24 août 2022 consid. 2.2 ; TF 6B_1081/2020 du 17 novembre 2021 consid. 1.3.2 et les références citées). Lorsqu'un conducteur doit prêter son attention visuelle principalement dans une direction déterminée, on peut admettre que son attention soit moindre dans les autres (ATF 122 IV 225 consid. 2b ; 6B_1081/2020 précité consid. 1.3.2 et la référence citée). Le conducteur doit avant tout porter son attention, outre sur sa propre voie de circulation (TF 6B_1081/2020 précité ; TF 6B_783/2008 du</w:t>
      </w:r>
    </w:p>
    <w:p>
      <w:r>
        <w:rPr>
          <w:b/>
        </w:rPr>
        <w:t>E. 3.1.3</w:t>
      </w:r>
    </w:p>
    <w:p>
      <w:r>
        <w:t>Selon l'art. 36 al. 2 LCR, aux intersections, le véhicule qui vient de droite a la priorité. Les véhicules circulant sur une route signalée comme principale ont la priorité, même s'ils viennent de gauche. Aux intersections, le droit de priorité s'étend sur toute la surface de l'intersection des routes en cause, sous réserve de la présence de signaux et de marques (ATF 143 IV 500 consid. 1.2.1 ; ATF 116 IV 157 consid. 1). A teneur de l'art. 27 al. 1 LCR, chacun se conformera aux signaux et aux marques ainsi qu'aux ordres de la police. L’art. 36 al. 1 de l’ordonnance sur la signalisation routière (OSR ; RS 741.21) prévoit que le signal « Stop » (3.01) oblige le conducteur à s’arrêter et à accorder la priorité aux véhicules circulant sur la route dont il s’approche. l lui appartenait d'user davantage de précautions pour s'assurer qu'il ne couperait pas la route au véhicule arrivant sur le tronçon prioritaire, dont il ne pouvait apprécier la distance et la vitesse de manière satisfaisante. A teneur de l'art. 14 OCR, celui qui est tenu d'accorder la priorité ne doit pas gêner dans sa marche le conducteur bénéficiaire de la priorité. Il réduira sa vitesse à temps et, s'il doit attendre, s'arrêtera avant le début de l'intersection. L'arrêt s'impose, en particulier dès que le non-prioritaire constatera qu'il ne pourrait pas libérer la route prioritaire avant l'arrivée du prioritaire et ce, avec une marge de sécurité suffisante et si la situation n'est pas claire (ATF 143 IV 500 consid. 1.2.1 ; TF 6B_299/2011 du 1 er septembre 2011, publié in JdT 2011 I 323 consid. 3.2 et les références citées). Le bénéficiaire de la priorité est gêné dans sa marche au sens de cette disposition, lorsqu'il doit modifier brusquement sa manière de conduire, par exemple parce qu'il est soudain contraint de freiner, d'accélérer ou de faire une manœuvre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 Dans cette optique, la gêne importante ne doit être écartée qu'exceptionnellement. L'importance de l'entrave au droit de priorité ne dépend pas du point de savoir si l'ayant droit l'a prévue et a réagi en conséquence (ATF 143 IV 500 consid. 1.2.1 et les références citées).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(ATF 143 IV 500 consid. 1.2.2 et les références citées).</w:t>
      </w:r>
    </w:p>
    <w:p>
      <w:r>
        <w:rPr>
          <w:b/>
        </w:rPr>
        <w:t>E. 3.1.4</w:t>
      </w:r>
    </w:p>
    <w:p>
      <w:r>
        <w:t>L’art. 26 al. 1 LCR prévoit que chacun doit se comporter, dans la circulation, de manière à ne pas gêner ni mettre en danger ceux qui utilisent la route conformément aux règles établies. La jurisprudence a déduit de cette règle le principe de la confiance, lequel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143 IV 500 consid. 1.2.4 ; ATF 143 IV 138 consid. 2.1 ; ATF 125 IV 38 consid. 2b et les références citées). Seul celui qui s'est comporté réglementairement peut invoquer le principe de la confiance (ATF 143 IV 500 consid. 1.2.4 ; ATF 129 IV 282 consid. 2.2.1 ; TF 6B_760/2021 du 8 octobre 2021 consid. 3.1).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ATF 129 IV 282 consid. 2.2.1 et les références citées ; TF 6B_631/2018 du 24 octobre 2018 consid. 1.2).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(ATF 143 IV 500 consid. 1.2.4 ; TF 6B_631/2018 précité).</w:t>
      </w:r>
    </w:p>
    <w:p>
      <w:r>
        <w:rPr>
          <w:b/>
        </w:rPr>
        <w:t>E. 3.2</w:t>
      </w:r>
    </w:p>
    <w:p>
      <w:r>
        <w:t>En l’espèce, le recourant formule diverses hypothèses pour tenter d’expliquer l’accident. Selon lui, G.________ n’aurait pas été en mesure de maîtriser la conduite de son véhicule, soit par distraction (utilisation du téléphone), soit en raison d’une vitesse excessive. De son côté, le Ministère public considère que l’accident n’est dû qu’à un défaut d’attention du recourant, celui-ci n’ayant pas respecté le signal « Stop » et s’étant engagé dans un carrefour, sans s’assurer que la chaussée était libre de tout véhicule provenant sur sa droite. Cela étant, il faut constater que la procédure diligentée sur plainte de M.________ contre G.________ est, en partie du moins, intrinsèquement liée au résultat de l’instruction dirigée contre le recourant pour violation simple des règles de la circulation. Or, celle-ci est toujours pendante puisque le recourant, qui conteste avoir commis une faute de circulation, a formé opposition à l’ordonnance pénale rendue à son encontre le 3 juin 2022, de sorte qu’il appartiendra au procureur d’administrer, le cas échéant, les autres preuves nécessaires au jugement de l’opposition (art. 355 al. 1 CPP). Il s’ensuit qu’à ce stade, et même si l’argumentation du procureur n’est pas dénuée de pertinence, le recourant bénéficie toujours de la présomption d’innocence. On ignore également les suites qui seront données aux éventuelles réquisitions de preuves qui ont été ou seront formulées par le recourant, et a fortiori leur résultat. Partant, le Ministère public ne pouvait refuser d’entrer en matière sur la plainte déposée par le recourant au motif que celui-ci aurait été entièrement responsable de l’accident, en d’autres termes qu’il serait lui-même coupable d’une violation des règles de la circulation, ce qui, en l’état, est contesté. Il s’ensuit que l’ordonnance querellée doit être annulée et l’instruction dirigée contre G.________ suspendue jusqu’à droit connu sur le sort de l’enquête instruite contre M.________, à charge, dans l’intervalle, pour le procureur d’établir précisément le complexe de faits.</w:t>
      </w:r>
    </w:p>
    <w:p>
      <w:r>
        <w:rPr>
          <w:b/>
        </w:rPr>
        <w:t>E. 4</w:t>
      </w:r>
    </w:p>
    <w:p>
      <w:r>
        <w:t>Au vu de ce qui précède, le recours doit être admis, l’ordonnance entreprise annulée et la cause renvoyée au Ministère public afin qu’il ouvre une instruction pénale contre G.________ et suspende cette enquête jusqu’à droit connu sur le sort de l’opposition formée par M.________ contre l’ordonnance pénale du 3 juin 2022. Vu le sort du recours, les frais de la procédure, constitués en l’espèce de l’émolument d'arrêt, par 1'210 fr. (art. 20 al. 1 et 2 TFIP [Tarif des frais judiciaires et indemnités en matière pénale du 28 septembre 2010 ; BLV 312.03.1]), seront laissés à la charge de l’Etat. Le montant de 550 fr. versé par le recourant à titre d’avance de frais lui sera restitué. Par ces motifs, la Chambre des recours pénale prononce : I. Le recours est admis. II. L’ordonnance du 3 juin 2022 est annulée. III. Le dossier de la cause est renvoyé au Ministère public de l’arrondissement de Lausanne pour qu’il statue dans le sens des considérants. IV. Les frais d’arrêt, par 1’210 fr. (mille deux cent dix francs), sont laissés à la charge de l’Etat. V. Le montant de 550 fr. (cinq cent cinquante francs) versé par M.________ à titre d’avance de frais lui est restitué. VI. L’arrêt est exécutoire. La présidente :               Le greffier : Du Le présent arrêt, dont la rédaction a été approuvée à huis clos, est notifié, par l'envoi d'une copie complète, à : - M.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