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830 vom 4. November 2022</w:t>
      </w:r>
    </w:p>
    <w:p>
      <w:r>
        <w:t>VD Tribunal cantonal, 2022-11-04, FR</w:t>
      </w:r>
    </w:p>
    <w:p>
      <w:r>
        <w:rPr>
          <w:b/>
        </w:rPr>
        <w:t xml:space="preserve">Quelle: </w:t>
      </w:r>
      <w:r>
        <w:t>https://mcp.opencaselaw.ch/entscheid/vd_findinfo_830___________</w:t>
      </w:r>
    </w:p>
    <w:p>
      <w:r>
        <w:t>FR: VD_FINDINFO 830 du 4 novembre 2022</w:t>
      </w:r>
    </w:p>
    <w:p>
      <w:r>
        <w:t>IT: VD_FINDINFO 830 del 4 novembre 2022</w:t>
      </w:r>
    </w:p>
    <w:p>
      <w:pPr>
        <w:pStyle w:val="Heading2"/>
      </w:pPr>
      <w:r>
        <w:t>Regeste</w:t>
      </w:r>
    </w:p>
    <w:p>
      <w:r>
        <w:t>CONFLIT D'INTÉRÊTS, REPRÉSENTATION EN PROCÉDURE, INDÉPENDANCE DE L'AVOCAT, DILIGENCE | 12 let. a LLCA, 12 let. b LLCA, 12 let. c LLCA</w:t>
      </w:r>
    </w:p>
    <w:p>
      <w:pPr>
        <w:pStyle w:val="Heading2"/>
      </w:pPr>
      <w:r>
        <w:t>Erwägungen</w:t>
      </w:r>
    </w:p>
    <w:p>
      <w:r>
        <w:rPr>
          <w:b/>
        </w:rPr>
        <w:t>E. 1</w:t>
      </w:r>
    </w:p>
    <w:p>
      <w:r>
        <w:t>CPP ; art. 13 LVCPP [loi vaudoise d’introduction du Code de procédure pénale suisse du 19 mai 2009 ; BLV 312.01] ; art. 80 LOJV [loi vaudoise d’organisation judiciaire du 12 décembre 1979 ; BLV 173.01]). Le recours doit être adressé par écrit, dans un délai de dix jours, dès la notification de la décision attaquée (art. 384 let. b et 396 al. 1 CPP). En l’espèce, déposé en temps utile auprès de l’autorité compétente, dans les formes prescrites (art. 385 al. 1 CPP), par une partie qui a un intérêt juridiquement protégé (art. 382 al. 1 CPP), le recours est recevable.</w:t>
      </w:r>
    </w:p>
    <w:p>
      <w:r>
        <w:rPr>
          <w:b/>
        </w:rPr>
        <w:t>E. 2.1</w:t>
      </w:r>
    </w:p>
    <w:p>
      <w:r>
        <w:t>Les recourants font valoir que la virulence des courriers électroniques de Me E.________ qu'ils ont produits le 31 août 2022, les attaques personnelles inutiles et déplacées qu'ils contiennent et la suggestion faite au notaire de déposer plainte contre leur avocat démontrent que Me E.________ n'a plus sa position d’interlocuteur de son client. Ils soutiennent que le versement de 72'400 fr. de X.________ à Me H.________ le 20 juin 2015 justifie également qu’il soit donné suite à leur requête d’interdiction de postuler : en effet, alors que les créances d’avocat échues, qui s’élèvent à 43'995 fr. 75, ont fait l’objet d’un plan de recouvrement, cela ne concerne pas le montant de 72'400 francs. Enfin, dans la mesure où Me E.________ a été le stagiaire de Me H.________, puis son associé, et pour le cas où l’autorité instruirait la question du versement des 72'400 fr. à Me H.________, les recourants considèrent que Me E.________ ne pourrait alors plus exercer de manière indépendante les intérêts de son client et ceux de son ancien associé étant divergents.</w:t>
      </w:r>
    </w:p>
    <w:p>
      <w:r>
        <w:rPr>
          <w:b/>
        </w:rPr>
        <w:t>E. 2.2</w:t>
      </w:r>
    </w:p>
    <w:p>
      <w:r>
        <w:t>L’autorité en charge de la procédure statue d’office et en tout temps sur la capacité de postuler d’un mandataire professionnel (ATF 141 IV 257 consid. 2.2). En effet, l’interdiction de postuler dans un cas concret – à distinguer d’une suspension provisoire ou définitive – ne relève pas du droit disciplinaire, mais du pouvoir de postuler de l’avocat (ATF 138 II 162 consid. 2.5.1 ; TF 1B_191/2020 du 26 août 2020 consid. 4.1.2). Dans les règles relatives aux conseils juridiques, l’art. 127 al. 4 CPP réserve la législation sur les avocats. L'avocat autorisé à pratiquer doit respecter les règles professionnelles énoncées à l'art. 12 LLCA. Ces règles professionnelles sont des normes destinées à réglementer, dans l'intérêt public, la profession d'avocat, afin d'assurer son exercice correct et de préserver la confiance du public à l'égard des avocats (ATF 135 II 145 consid. 6.1 ; TF 5A_124/2022 du 26 avril 2022 consid. 4.1.1). Selon l'art. 12 let. a LLCA, l'avocat doit exercer sa profession avec soin et diligence. Cette disposition constitue une clause générale qui permet d'exiger de l'avocat qu'il se comporte correctement dans l'exercice de sa profession. Sa portée n'est pas limitée aux rapports professionnels de l'avocat avec ses clients, mais comprend aussi les relations avec les confrères et les autorités. L'art. 12 let. a LLCA suppose l'existence d'un manquement significatif aux devoirs de la profession (ATF 144 II 473 consid. 4.1 et les réf.). La tâche première de l’avocat est la défense des intérêts bien compris de son client, et on considère que de ce fait l’avocat dispose d’une large liberté de critique dans le cadre de son activité. C’est pourquoi on doit accepter certaines exagérations dans ses propos (Valticos, in Valticos/Reiser/Chappuis/Bohnet [éd.], Commentaire romand, Loi sur les avocats, 2 e éd., Bâle 2022, n. 45 ad art. 12 LLCA ; Fellmann, Kommentar zum Anwaltsgesetz, Zurich 2011, n. 40 ad art. 12 LLCA ; RJN 2015, pp. 539 ss). Mais l'avocat est tenu, de manière toute générale, d'assurer et de maintenir la dignité de la profession, en s'abstenant notamment de tout ce qui pourrait porter atteinte à la considération et à la confiance dont il doit jouir pour remplir sa mission, car il joue un rôle important pour le bon fonctionnement des institutions au sens large. Si le devoir de défense permet que la critique soit dure, pour autant qu’elle demeure objective – l’avocat pouvant plaider de façon énergique et tranchée sans qu’il puisse être exigé de sa part qu’il pèse soigneusement chacun de ses mots – cela ne saurait cependant justifier que l’avocat use de mauvaise foi ou s’exprime en une forme inconvenante. S’adressant aux responsables des autorités, sans distinction quant aux fonctions qu’ils exercent, l’avocat doit s’abstenir de toute personnalisation excessive ou appréciation offensante. Il doit faire preuve de retenue et s’efforcer de prévenir toute escalade du conflit en renonçant aux attaques personnelles, à la diffamation et à l’injure. Il en va de même à l’égard de la partie adverse, qui ne saurait être tourmentée par des chicaneries ou propos sans pertinence destinés à la blesser inutilement (TF 6S.409/2005 du 22 décembre 2005 ; Valticos, op. cit., nn. 48, 56, 64 ; RJN 2015, p. 539). Le caractère pénalement répréhensible des déclarations n'est pas déterminant (TF 2A.499/2006 du 11 juin 2007 consid. 3.2 ; Bohnet/Martenet, Droit de la profession d’avocat, Berne 2009, ch. 1253). L'art. 12 let. b LLCA prévoit notamment que l'avocat exerce son activité professionnelle en toute indépendance. L'indépendance est un principe essentiel de la profession d'avocat et doit être garantie tant à l'égard du juge et des parties, que du client (cf. ATF 145 II 229 consid. 6.1 ; TF 1B_191/2020 du 26 août 2020 consid. 4.1.2 et les autres réf.). Celui qui s'adresse à un avocat doit pouvoir admettre que celui-ci est libre de tout lien, de quelque nature que ce soit et à l'égard de qui que ce soit, qui pourrait restreindre sa capacité de défendre les intérêts de son client, dans l'accomplissement du mandat que ce dernier lui a confié (TF 1B_191/2020 précité, loc. cit.). L'avocat doit être indépendant non seulement à l'égard de tout tiers, mais également à l'égard de son client, tant matériellement que moralement (Bohnet/Martenet, op. cit., n. 1366). L'indépendance matérielle vise l'indépendance économique, en ce sens que l'avocat ne doit pas être le créancier ou le débiteur de son client s'il en résulte une atteinte à sa liberté de décision (Bohnet/Martenet, op. cit., n. 1368). Quant à l'indépendance morale, elle suppose que l'avocat reste à distance des intérêts de la partie qu'il représente et ne devienne pas le porte-parole de son client (ATF 106 la 100 consid. 6b, JdT 1982 I 579). L'avocat doit conserver sa position d'interlocuteur critique de son client, qui lui est indispensable pour éviter des procédés inutiles, dommageables ou sans objet (Bohnet/Martenet, op. cit., n. 1377). L'avocat perd son indépendance lorsqu'il tombe entièrement sous la coupe de son client, au point d'être réduit à lui servir d'instrument ou de porte-voix. L'examen de l'indépendance doit être fait dans les circonstances concrètes. Un risque théorique d'atteinte ne suffit pas, il faut que la perte d'indépendance repose sur des faits établis, considérés objectivement (TF 2A.293/2003 du 9 mars 2004 consid. 3). Par ailleurs, l'avocat agit contrairement à ses devoirs professionnels et, partant, de façon inadmissible, s'il formule des critiques de mauvaise foi ou dans une forme attentatoire à l'honneur, au lieu de se limiter à des allégations de fait et à des appréciations (TF 2C_103/2016 du 30 août 2016 consid. 3.2.2). Quant à l'art. 12 let. c LLCA, il prescrit à l'avocat d'éviter tout conflit entre les intérêts de son client et ceux des personnes avec lesquelles il est en relation sur le plan professionnel ou privé. Un conflit d'intérêts peut survenir dans trois situations : la double représentation simultanée, les mandats opposés qui se succèdent dans le temps et les intérêts propres de l'avocat (Chappuis, La profession d'avocat, tome I, 2 e éd. 2016, p. 120 ; Grodecki/Jeandin, Critique de l'interdiction de postuler chez l'avocat aux prises avec un conflit d'intérêts, SJ 2015 II 107, pp. 113-115). Les règles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(ATF 145 IV 218 consid. 2.1 ; ATF 141 IV 257 consid. 2.1 ; TF 1B_191/2020 précité, loc. cit.). L’interdiction de conflits d’intérêts ne se limite pas à la personne même de l’avocat, mais s’étend à l’ensemble de l’étude ou du groupement auquel il appartient (TF 6B_113/2021 du 8 juillet 2021 consid. 3.1.2 et les réf.) ; sous cet angle, sont donc en principe concernés tous les avocats exerçant dans une même étude au moment de la constitution du mandat, peu importe leur statut (associés ou collaborateurs ; ATF 145 IV 218 consid. 2.2 ; TF 6B_113/2021 précité). Il faut éviter toute situation potentiellement susceptible d'entraîner des conflits d'intérêts. Un risque purement abstrait ou théorique ne suffit pas ; le risque doit être concret. Il n'est toutefois pas nécessaire que le danger concret se soit réalisé et que l'avocat ait déjà exécuté son mandat de façon critiquable ou en défaveur de son client (ATF 145 IV 218 consid. 2.1 ; TF 2C_293/2021 du 27 juillet 2021 consid. 4.1 ; TF 1B_191/2020 précité, loc. cit. et les réf.).</w:t>
      </w:r>
    </w:p>
    <w:p>
      <w:r>
        <w:rPr>
          <w:b/>
        </w:rPr>
        <w:t>E. 2.3</w:t>
      </w:r>
    </w:p>
    <w:p>
      <w:r>
        <w:t>En l’espèce, dans un courriel du 2 juin 2022 à 11h20 (P. 142/2/35), Me E.________ a répondu ce qui suit au notaire L.________, avec copie à Me G.________ : « J’ai pris connaissance du mail que vous a adressé il y a quelques minutes Me G.________ dont la teneur n’a pas manqué de me surprendre. Me G.________ n’a en effet aucune autorité pour vous adresser une quelconque interdiction. On peut d’ailleurs s’interroger sur la portée de ses agissements notamment lorsqu’il indique que vous pourriez engager votre responsabilité " si vous vous dessaisissez de ce montant ". En l’état, aucune décision de justice ne vous empêche de vous dessaisir de quelque montant que ce soit et ce n’est en tout cas pas Me G.________ qui peut vous l’interdire. Il n’y a donc aucune suite à donner à cette tentative maladroite de vous forcer à commettre un acte qui serait contraire à l’intérêt de vos mandants (…) » Le même jour, à 12h15, Me G.________ a répondu ce qui suit à L.________, avec copie à Me E.________ : « Je fais suite au courrier de Me E.________. Ses attaques personnelles à mon égard m’importent peu (…). Je confirme dès lors le contenu de ma correspondance remise à votre Etude ce matin à 10h38 ». Le même jour, à 13h22, Me E.________ a répondu ce qui suit à Me L.________ et Me G.________ : « Le mail de Me G.________ ci-dessous est à l’image du précédent : erroné et sans consistance (…). A l’instar de ce qui prévalait pour le précédent mail de Me G.________, il n’y a aucune suite à donner à ce mail, sauf à s’interroger sur la question de savoir si les agissements des époux F.________ à votre encontre ne mériteraient pas une réponse judiciaire, puisqu’on ne peut pas impunément tenter de forcer une personne à adopter un certain comportement contraire à ses obligations ». Il convient tout d’abord de préciser que ces correspondances s’inscrivent dans une affaire conflictuelle qui dure depuis plusieurs années et que les recourants n’ont pas produit le courriel de Me G.________ du 2 juin 2022 à 10h38, déclencheur de la querelle. Cela dit, on ne saisit pas en quoi les propos de Me E.________ constitueraient des attaques personnelles contre Me G.________. Me E.________ s’est en effet contenté de procéder à une appréciation du contenu des courriels de Me G.________ du 2 juin 2022 à 10h38 et 12h15 et de s’interroger sur les éventuelles suites judiciaires que ces courriels pourraient entraîner. Il ne s’est pas exprimé de mauvaise foi ou de façon inconvenante. Il n’y avait rien de blessant non plus. D’ailleurs, Me G.________ a lui-même indiqué que ces « attaques personnelles » lui importaient peu. En outre, ces propos ne démontrent manifestement pas que MeE.________ serait sous la coupe de X.________ et encore moins qu’il n’aurait plus la distance nécessaire pour défendre les intérêts de son client. Les règles professionnelles selon lesquelles l’avocat doit exercer sa profession avec soin et diligence et en toute indépendance (art. 12 let. a et b LLCA) n'ont par conséquent pas été transgressées. Par ailleurs, la requête d’interdiction de postuler fondée sur une violation de l’art. 12 al. 1 let. c LLCA – à savoir sur un conflit entre les intérêts que Me E.________ défend pour son client d’une part et les intérêts de Me H.________ d’autre part – apparaît tout d’abord tardive, puisque les recourants connaissaient l’existence du versement de 72'400 fr. à Me H.________ dès le dépôt de leur plainte du 8 juin 2016 (cf. dossier B joint, P. 4/1/17, états financiers au 21.10.2015), qu’ils n’ont pas fait valoir que Me H.________ ne pouvait pas défendre son client et que c’est seulement 20 mois après que Me E.________ a informé Me G.________ qu’il succédait à Me H.________ (29 décembre 2020) qu’ils ont déposé leur requête d’interdiction de postuler (31 août 2022). De toute manière, à ce stade de la procédure, on ne saurait considérer que la somme de 72'400 fr. serait le produit d’une infraction rendant impossible la poursuite du mandat de Me E.________ en faveur de X.________. En effet, outre le fait que le rapport d’investigation du 26 août 2021 ne retient pas que cette somme correspondrait à un avantage octroyé à un créancier (P. 121, pp. 20-21), Me H.________ n’est pas partie à la procédure, que ce soit en qualité de prévenu ou de personne appelée à donner des renseignements. Les recourants ont certes demandé que ce versement insolite à leurs yeux fasse l’objet de mesures d’instruction, mais la Procureure a rejeté cette requête pour le motif qu’aucun élément ne permettait de soupçonner que ce montant concernait une dette non échue, élément constitutif objectif nécessaire à la réalisation de l’infraction de l’art. 167 CP (P. 145). Dans ces conditions, force est de constater qu’il n’existe aucun risque concret de conflit entre Me H.________ et ses anciens clients, désormais assistés de Me E.________, risque qui aurait pu s’étendre à ce dernier du fait qu’il a exercé dans la même étude que Me H.________. Il n’importe donc pas que Me E.________ ait été l’avocat-stagiaire puis l’associé de MeH.________ comme les recourants le plaident. Vu ce qui précède, c’est à juste titre que le Ministère public a rejeté la requête d’interdiction de postuler déposée par les époux F.________.</w:t>
      </w:r>
    </w:p>
    <w:p>
      <w:r>
        <w:rPr>
          <w:b/>
        </w:rPr>
        <w:t>E. 3</w:t>
      </w:r>
    </w:p>
    <w:p>
      <w:r>
        <w:t>Il s’ensuit que le recours, manifestement mal fondé, doit être rejeté sans échange d’écritures (art. 390 al. 2 CPP) et l’ordonnance entreprise confirmée. Les frais de la procédure de recours, par 1'210 fr. (art. 20 al. 1 TFIP [tarif des frais de procédure et indemnités en matière pénale du 28 septembre 2010 ; BLV 312.03.1]), seront mis à la charge de A.F.________ et B.F.________, qui succombent (art. 428 al. 1 CPP), à parts égales et solidairement entre eux (art. 418 al. 1 et 2 CPP). Par ces motifs, la Chambre des recours pénale prononce : I. Le recours est rejeté. II. L’ordonnance du 13 septembre 2022 est confirmée. III. Les frais d’arrêt, par 1'210 fr. (mille deux cent dix francs), sont mis à la charge de A.F.________ et B.F.________, à parts égales et solidairement entre eux. IV. L’arrêt est exécutoire. La présidente : La greffière : Du Le présent arrêt, dont la rédaction a été approuvée à huis clos, est notifié, par l'envoi d'une copie complète, à : - Me G.________, avocat (pour A.F.________ et B.F.________), - Me E.________, avocat (pour X.________), - Me Marc Cheseaux, avocat (pour M.________ et N.________), - Office des faillites de Fribourg, - Ministère public central, et communiqué à : - Mme la Procureure du Ministère public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