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807 vom 3. November 2022</w:t>
      </w:r>
    </w:p>
    <w:p>
      <w:r>
        <w:t>VD Tribunal cantonal, 2022-11-03, FR</w:t>
      </w:r>
    </w:p>
    <w:p>
      <w:r>
        <w:rPr>
          <w:b/>
        </w:rPr>
        <w:t xml:space="preserve">Quelle: </w:t>
      </w:r>
      <w:r>
        <w:t>https://mcp.opencaselaw.ch/entscheid/vd_findinfo_807___________</w:t>
      </w:r>
    </w:p>
    <w:p>
      <w:r>
        <w:t>FR: VD_FINDINFO 807 du 3 novembre 2022</w:t>
      </w:r>
    </w:p>
    <w:p>
      <w:r>
        <w:t>IT: VD_FINDINFO 807 del 3 novembre 2022</w:t>
      </w:r>
    </w:p>
    <w:p>
      <w:pPr>
        <w:pStyle w:val="Heading2"/>
      </w:pPr>
      <w:r>
        <w:t>Regeste</w:t>
      </w:r>
    </w:p>
    <w:p>
      <w:r>
        <w:t>RECEL, ADMISSION DE LA DEMANDE, CLASSEMENT DE LA PROCÉDURE | 160 CP, 319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BLV 312.01]; art. 80 LOJV [loi d’organisation judiciaire; BLV 173.01]). Interjeté dans le délai légal (art. 322 al. 2 et 396 al. 1 CPP) par la partie plaignante qui a qualité pour recourir (art. 322 al. 2 et 382 al. 1 CPP), le recours est donc recevable.</w:t>
      </w:r>
    </w:p>
    <w:p>
      <w:r>
        <w:rPr>
          <w:b/>
        </w:rPr>
        <w:t>E. 2.1</w:t>
      </w:r>
    </w:p>
    <w:p>
      <w:r>
        <w:t>Le recourant fait valoir une violation de l’art. 160 CP. Il explique que R.________ devait se douter de la provenance délictueuse de la montre et que l’infraction de recel par dol éventuel devrait au minimum être retenue. En effet, l’attention du prévenu aurait dû être attirée par le prix très bas demandé par M.________ pour cette montre, soit 50'000 fr., alors que le prix du marché se situait à cette période entre 80'000 fr. et 100'000 francs. Il reproche également au Ministère public de ne pas avoir procédé à l’audition du témoin S.________ comme il l’avait requis dans le délai de prochaine clôture.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6B_116/2019 du 11 mars 2019 consid. 2.1). L'autorité de recours ne saurait ainsi confirmer un classement au seul motif qu'une condamnation n'apparaît pas plus probable qu'un acquittement (TF 6B_1056/2018 du 29 janvier 2019 consid. 2.2.2 ; TF 6B_874/2017 du 18 avril 2018 consid. 5.1 ; TF 6B_1177/2017 du 16 avril 2018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 citées).</w:t>
      </w:r>
    </w:p>
    <w:p>
      <w:r>
        <w:rPr>
          <w:b/>
        </w:rPr>
        <w:t>E. 2.2.2</w:t>
      </w:r>
    </w:p>
    <w:p>
      <w:r>
        <w:t>Aux termes de l'art. 160 ch. 1 al. 1 CP (Code pénal suisse du 21 décembre 1937 ; RS 311.0),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Sur le plan objectif, l’infraction de recel suppose une chose obtenue au moyen d’une infraction contre le patrimoine, notion qui s’entend de manière large et englobe toute infraction dirigée contre le patrimoine d’autrui (ATF 127 IV 79 consid. 2a et b).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 TF 6B_268/2020 du 6 mai 2020 consid. 1.3 ; TF 6B_641/2017 du 1er juin 2018 consid. 1.2). Sur le plan subjectif, l’art. 160 CP définit une infraction intentionnelle, mais il suffit que l'auteur sache ou doive présumer, respectivement qu'il accepte l'éventualité que la chose provienne d'une infraction contre le patrimoine (TF 6B_268/2020 précité ; TF 6B_1124/2014 du 22 septembre 2015 consid. 2.1 ; TF 6B_728/2010 du 1er mars 2011 consid. 2.2 et la référence citée sur le dol éventuel [art. 12 al. 2 CP] ; sur cette notion, cf. ATF 137 IV 1 consid. 4.2.3 ; ATF 133 IV 9 consid. 4.1). Il en va ainsi lorsque les circonstances suggèrent le soupçon de la provenance délictueuse (ATF 129 IV 230 consid. 5.3.2 et les références citées ; TF 6B_268/2020 précité ; TF 6B_641/2017 précité).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précité ; ATF 130 IV 58 consid. 8.3 ; ATF 125 IV 242 consid. 3c ; TF 6B_268/2020 précité ; TF 6B_817/2018 du 23 octobre 2018 consid. 2.5.2 ; TF 6B_953/2017 du 28 mars 2018 consid. 2.1.3).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119 IV 1 consid. 5a ; TF 6B_817/2018 précité ; TF 6B_60/2015 du 25 janvier 2016 consid. 1.2.1). Peuvent aussi constituer des éléments extérieurs révélateurs, les mobiles de l’auteur et la manière dont il a agi (ATF 133 IV 9 précité ; ATF 130 IV 58 précité consid. 8.4 ; ATF 125 IV 242 précité ; TF 6B_817/2018 précité).</w:t>
      </w:r>
    </w:p>
    <w:p>
      <w:r>
        <w:rPr>
          <w:b/>
        </w:rPr>
        <w:t>E. 2.3</w:t>
      </w:r>
    </w:p>
    <w:p>
      <w:r>
        <w:t>En l’espèce, on relèvera tout d’abord que le procureur a rendu une ordonnance pénale concernant M.________, condamnant ce dernier pour escroquerie. Cette ordonnance a fait l’objet d’une opposition et la procédure de l’art. 355 CPP est en cours. Ensuite, dans son ordonnance le procureur a en substance considéré qu’au vu des déclarations recueillies et des documents produits, aucun élément ne permettait de démontrer que R.________ était au courant ou qu’il pouvait se douter de la provenance délictueuse de la montre qui selon lui appartenait à M.________. En l’occurrence, il est vrai que le prévenu a fait une bonne affaire en achetant la montre à un prix se situant en-dessous du prix au marché, mais le prix payé n’apparaît pas suffisamment peu élevé pour faire penser à un objet volé, compte tenu particulièrement de la marge de négociation et des fluctuations du marché telles qu’expliquées dans le rapport d’investigation de la police. Toutefois, si la montre a bien été fournie avec la carte de garantie, le manuel d’utilisation et la boite d’origine, il est étrange que, pour un objet de cette valeur, aucune facture prouvant son achat n’ait été demandée au vendeur et les explications fournies par R.________ sur cette question, soit qu’il s’agirait d’un mode de faire habituel en raison du fait que la facture contiendrait des informations confidentielles comme l’adresse de l’acheteur/vendeur, ne sont pas très convaincantes. A cela s’ajoute que les circonstances de la prise de possession de la montre paraissent curieuses. En effet, le prévenu explique qu’il est allé chez un garagiste, soit S.________, à Kreuzlingen pour se faire remettre la montre contre 40'000 fr., le solde de 10'000 fr. étant versé en cash à la sœur de M.________. R.________ a par ailleurs fait signer un contrat de vente à ce garagiste et les deux contrats sont datés du même jour, soit du 12 août 2021 (annexes au PV aud. 2). Il n’y a par ailleurs pas de quittance pour les 10'000 fr. payés en cash à la sœur de M.________. De même, les circonstances de la revente par R.________ à un acheteur inconnu sont également étranges. En effet, après avoir acquis la montre auprès de S.________, il l’a revendue, le 12 août 2021, pour 60'000 francs, avant de la racheter le 25 octobre 2021 pour 72'000 fr. puis de la revendre le 20 octobre pour 74'000 francs (P. 9/2 à P. 9/5). Les éléments qui précèdent sont flous et soulèvent plusieurs interrogations qui méritent d’être approfondies. En l’état, et au vu des circonstances précitées, il est prématuré de conclure que les faits reprochés au prévenu ne sont clairement pas punissables, d’autant que les mesures d’instruction – notamment l’audition de S.________ sur les circonstances dans lesquelles il est devenu propriétaire de la montre, et pour quel prix – peuvent encore être menées. Bien entendu, si M.________ devait être finalement libéré de l’infraction d’escroquerie, R.________ ne pourrait plus l’être pour l’infraction de recel.</w:t>
      </w:r>
    </w:p>
    <w:p>
      <w:r>
        <w:rPr>
          <w:b/>
        </w:rPr>
        <w:t>E. 4</w:t>
      </w:r>
    </w:p>
    <w:p>
      <w:r>
        <w:t>En définitive, le recours doit donc être admis et l’ordonnance entreprise annulée. Le dossier sera renvoyé au Ministère public pour qu’il complète l’instruction. Vu le sort du recours, l’émolument d'arrêt, par 1’320 fr. (art. 20 al. 1 TFIP [tarif des frais de procédure et indemnités en matière pénale du 28 septembre 2010 ; BLV 312.03.1]), sera laissé à la charge de l’Etat (art. 428 al. 4 CPP). Le recourant,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Selon la liste des opérations produite par Me Albert Habib, qui est adéquate, cette indemnité est fixée à 1'421 fr. 65, correspondant à 4h24 d’activité nécessaire au tarif horaire de 300 fr. (cf. art. 26a al. 3 TFIP), auxquels s’ajoutent les débours forfaitaires de 2%, par 26 fr. 40 (cf. art. 26b TFIP qui renvoie à l'art. 3bis RAJ [règlement sur l’assistance judiciaire en matière civile du 7 décembre 2010 ; BLV 211.02.3]), ainsi qu’un montant correspondant à la TVA, par 103 fr. 65, ce qui totalise un montant de 1'451 fr. en chiffres arrondis, à la charge de l’Etat. Par ces motifs, la Chambre des recours pénale prononce : I. Le recours est admis. II. L’ordonnance du 30 août 2022 est annulée. III. Le dossier de la cause est renvoyé au Ministère public de l’arrondissement de Lausanne. IV. Les frais d’arrêt, par 1’320 fr. (mille trois cent vingt francs), sont laissés à la charge de l’Etat. V. Une indemnité de 1'451 fr. (mille quatre cent cinquante et un francs) est allouée à X.________ pour les dépenses occasionnées par la procédure de recours, à la charge de l’Etat. VI. L’arrêt est exécutoire. La présidente :               La greffière : Du Le présent arrêt, dont la rédaction a été approuvée à huis clos, est notifié, par l'envoi d'une copie complète, à : - Me Albert Habib, avocat (pour X.________), - Me Astyanax Peca, avocat (pour R.________),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