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790 vom 4. November 2024</w:t>
      </w:r>
    </w:p>
    <w:p>
      <w:r>
        <w:t>VD Tribunal cantonal, 2024-11-04, FR</w:t>
      </w:r>
    </w:p>
    <w:p>
      <w:r>
        <w:rPr>
          <w:b/>
        </w:rPr>
        <w:t xml:space="preserve">Quelle: </w:t>
      </w:r>
      <w:r>
        <w:t>https://mcp.opencaselaw.ch/entscheid/vd_findinfo_790___________</w:t>
      </w:r>
    </w:p>
    <w:p>
      <w:r>
        <w:t>FR: VD_FINDINFO 790 du 4 novembre 2024</w:t>
      </w:r>
    </w:p>
    <w:p>
      <w:r>
        <w:t>IT: VD_FINDINFO 790 del 4 novembre 2024</w:t>
      </w:r>
    </w:p>
    <w:p>
      <w:pPr>
        <w:pStyle w:val="Heading2"/>
      </w:pPr>
      <w:r>
        <w:t>Regeste</w:t>
      </w:r>
    </w:p>
    <w:p>
      <w:r>
        <w:t>ESCROQUERIE, USURE{DROIT PÉNAL}, FAUX INTELLECTUEL DANS LES TITRES, ORDONNANCE DE NON-ENTRÉE EN MATIÈRE, FAUX MATÉRIEL DANS LES TITRES | 146 al. 1 CP, 157 ch. 1 CP, 251 ch. 1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w:t>
      </w:r>
    </w:p>
    <w:p>
      <w:r>
        <w:rPr>
          <w:b/>
        </w:rPr>
        <w:t>E. 1.2</w:t>
      </w:r>
    </w:p>
    <w:p>
      <w:r>
        <w:t>Interjeté en temps utile devant l’autorité compétente par la partie plaignante qui a qualité pour recourir (art. 382 al. 1 CPP), et satisfaisant aux conditions de forme prescrites (art. 385 al. 1 CPP), le recours est recevable.</w:t>
      </w:r>
    </w:p>
    <w:p>
      <w:r>
        <w:rPr>
          <w:b/>
        </w:rPr>
        <w:t>E. 2</w:t>
      </w:r>
    </w:p>
    <w:p>
      <w:r>
        <w:t>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2.1</w:t>
      </w:r>
    </w:p>
    <w:p>
      <w:r>
        <w:t>Dans un premier grief, la recourante se plaint en substance d’une violation du principe « in dubio pro duriore ». Elle estime que l’ordonnance entreprise s’écarte substantiellement et sans justification du rapport d’investigation, tant dans son contenu que dans ses déductions. Selon elle, il ressort des conclusions de la police que les éléments constitutifs de l’escroquerie sont réalisés, de sorte que la procureure ne pouvait pas, sans autres mesures d’instruction, retenir l’inverse et encore moins considérer qu’il y avait un doute à ce propos.</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3.1.1</w:t>
      </w:r>
    </w:p>
    <w:p>
      <w:r>
        <w:t>Aux termes de l'art. 146 al. 1 CP (Code pénal ; RS 311.0),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 [éd.], Code pénal, Petit commentaire, 2 e éd., Bâle 2017, n. 1 ad art. 146 CP).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142 IV 153 consid. 2.2.2; ATF 142 IV 153 consid. 2.2.2, JdT 2017 IV 75 ; ATF 135 IV 76 précité consid. 5.2 ; TF 6B_346/2020 du 21 juillet 2020 consid. 1.2 ; TF 6B_446/2018 du 17 juillet 2018 consid. 2.1 et les réf. citées). Il y a notamment manœuvre frauduleuse lorsque l'auteur fait usage de titres falsifiés ou obtenus sans droit ou de documents mensongers (ATF 128 IV 18 consid. 3a p. 20 ; TF 6B_1092/2023 du 24 mai 2024 consid. 2.1 ; TF 6B_1365/2022 du 25 janvier 2024 consid. 5.1.1 ; TF 6B_1290/2022 du 7 juillet 2023 consid. 1.4.1 ; TF 6B_162/2022 du 9 janvier 2023 consid. 1.1.1).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ATF 143 IV 302 consid. 1.4.1; ATF 142 IV 153 consid. 2.2.2; ; ATF 135 IV 76 ; TF 6B_346/2020 précité ; TF 6B_819/2018 du 25 janvier 2019 consid. 3.5).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 ; ATF 115 IV 32 consid. 3a ; Corboz, Les infractions en droit suisse, vol. I, 3 e éd., Berne 2010, nn. 31 et 38 ad art. 146 CP ; Dupuis et alii [éd.], op. cit., n. 32 ad art. 146 CP).</w:t>
      </w:r>
    </w:p>
    <w:p>
      <w:r>
        <w:rPr>
          <w:b/>
        </w:rPr>
        <w:t>E. 3.1.2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w:t>
      </w:r>
    </w:p>
    <w:p>
      <w:r>
        <w:t>En l’espèce, il est vrai que le rapport de police conclut à une tromperie des frères [...], lesquels auraient profité de « la naïveté et de l’inexpérience de la plaignante et de son neveu » (P. 14, p. 14, dernier par.). Cela étant, le rapport de police ne mentionne pas, et ce n’est pas son rôle, si l’on peut qualifier cette tromperie d’astucieuse. Or, c’est bien cet élément qui fait défaut selon la Procureure. Avec cette dernière, force est de convenir que la prévenue a fait preuve à tout le moins d’une grande légèreté au moment de nouer les relations d’affaires ici en cause. Cela étant, il ressort du dossier qu’elle faisait confiance à son neveu, alors même qu’elle avait indiqué qu’elle « n’étai [t] pas très proche de lui » (PV aud. 1, R. 8, par. 1 in initio). Ce rapport de confiance découlait ainsi probablement du fait que l’intéressé devait également investir dans le fonds de commerce. Par contre, un lien personnel de confiance avec sa tante a été mentionné par le neveu en question (PV aud. 2, R. 8). Il est possible que cela ait dissuadé la plaignante de faire des vérifications. Quoi qu’il en soit, ce point n’est pas décisif, pour les motifs ci-après. Il est en effet déterminant que, comme cela est établi en fait, la plaignante ait demandé les comptes de l’entreprise et que les frères [...] lui aient alors présenté des documents qui faisaient état d’un chiffre d’affaires de 30'000 francs. Ce montant était supérieur à la réalité, en tout cas en 2019 au moment de la signature du contrat. La police estime certes que ce chiffre était vraisemblable pour 2018. La Procureure en tire comme conclusion que l’on ne peut pas établir que les frères [...] aient alors volontairement induit la plaignante en erreur par des affirmations fallacieuses. Cette appréciation ne peut être suivie en l’état. En effet, l’élément retenu par la Procureure doit être largement pondéré par le fait que les frères [...] ne pouvaient pas ignorer, au moment de la remise du commerce, que le chiffre d’affaires n’était plus du même ordre de grandeur qu’en novembre et décembre 2018. Au reste, le fait qu’ils avaient eux-mêmes acquis le fonds de commerce pour 10'000 fr. moins de six mois auparavant alors même que le précédent exploitant avait fait faillite ne témoigne pas en faveur de leur bonne foi. En outre, la plaignante n’a jamais obtenu de comptabilité, puisque les comptes n’étaient pas tenus. Elle n’a donc pas pu vérifier si les affirmations de ses partenaires d’affaires étaient exactes. Qui plus est, la plaignante n’a pas paraphé les éléments du contrat de bail entre [...] et le propriétaire. Elle ignorait que le prévenu n’était pas propriétaire du fonds de commerce qu’il louait. Cet élément lui a été dissimulé et, s’agissant d’une personne qui est serveuse sans formation et dépourvue de toute expérience en matière de gestion d’un commerce, on ne pouvait guère exiger d’elle plus de vérifications à cet égard. Enfin, l’adjonction de la peine conventionnelle de 40'000 fr., à la dernière minute selon [...] (PV aud. 4, p. 6 in fine), a probablement aussi contribué à dissuader la plaignante de procéder à de plus amples vérifications. L’astuce apparaît ainsi en l’état vraisemblable pour ce qui est d’une dissimulation, au préjudice de la repreneuse, du chiffre d’affaires effectif ou présumable du commerce. Au vu de ce qui précède, la question de la co-responsabilité de la dupe ne saurait, du moins en l’état, battre en brèche le principe « in dubio pro duriore ». Partant, c’est à tort que la non-entrée en matière a été prononcée pour ce qui est de l'infraction d'escroquerie. Le recours doit être admis dans cette mesure.</w:t>
      </w:r>
    </w:p>
    <w:p>
      <w:r>
        <w:rPr>
          <w:b/>
        </w:rPr>
        <w:t>E. 4.1</w:t>
      </w:r>
    </w:p>
    <w:p>
      <w:r>
        <w:t>et les réf. citées ; TF 6B_649/2020 du 2 octobre 2020 consid. 2.1). L’avantage pécuniaire obtenu doit être en disproportion évidente, sur le plan économique, avec la prestation fournie. Elle doit être évaluée de manière objective (ATF 130 IV 106 consid. 7.2 p. 109). Le rapport entre la prestation et la contre-prestation se mesure dans le cas normal selon le prix ou la rémunération usuels pour des choses ou des services de même espèce (ATF 93 IV 85 consid. 2 ; ATF 92 IV 132 consid. 1 ; plus récemment : TF 6B_875/2020 précité et 6B_1006/2020 précité, ibid. ; TF 6B_301/2020 du 28 avril 2020 consid. 1.1.4 ; TF 6B_707/2016 du 16 octobre 2017 consid. 2). Les situations de faiblesse sont énumérées de manière exhaustive à l’art. 157 CP (gêne, dépendance, inexpérience et faiblesse de la capacité de jugement). L’état de gêne s’entend de tout état de contrainte qui influe si fort sur la liberté de décision de la personne lésée qu’elle est prête à fournir une prestation disproportionnée (TF 6B_1076/2014 du 7 octobre 2015 consid. 2.5). La dépendance est difficile à distinguer de la gêne, notamment. Elle n’est pas nécessairement économique. En ce qui concerne l’inexpérience, il doit s’agir d’une inexpérience générale se rapportant au domaine des affaires et non pas d’une inexpérience relative au contrat en cause (ATF 130 IV 106 précité consid. 7.3). Quant à la faiblesse de jugement, elle consiste dans l’état d’une personne qui, en raison de son âge, d’une maladie, d’une faiblesse congénitale, de l’ivresse, de la toxicomanie ou d’une autre cause semblable, est diminuée dans la faculté d’analyser la situation, d’apprécier la portée de ses actes, de former sa volonté et de s’y tenir (Corboz, op. cit., n. 23 ad art. 157 CP). L’infraction d’usure est intentionnelle, mais le dol éventuel suffit (Corboz, op. cit., nn. 45-48 ad art. 157 CP).</w:t>
      </w:r>
    </w:p>
    <w:p>
      <w:r>
        <w:rPr>
          <w:b/>
        </w:rPr>
        <w:t>E. 4.2</w:t>
      </w:r>
    </w:p>
    <w:p>
      <w:r>
        <w:t>Se rend coupable d’usure au sens de l’art. 157 ch. 1 CP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ou acquiert une créance usuraire et l’aliène ou la fait valoir. Cette infraction suppose la réalisation des éléments constitutifs objectifs suivants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(TF 6B_875/2020 et 6B_1006/2020 du 15 avril 2021 consid.</w:t>
      </w:r>
    </w:p>
    <w:p>
      <w:r>
        <w:rPr>
          <w:b/>
        </w:rPr>
        <w:t>E. 4.3</w:t>
      </w:r>
    </w:p>
    <w:p>
      <w:r>
        <w:t>Il n’est pas exclu que l’infraction d’usure puisse être également retenue, vu la possible exploitation de la flagrante inexpérience, sinon de la faiblesse, de la plaignante dans les relations d’affaires ici en cause, l’intéressée admettant du reste explicitement qu’elle n’est « pas du métier de la [...] » (PV auad. 1, R. 8, par. 2).</w:t>
      </w:r>
    </w:p>
    <w:p>
      <w:r>
        <w:rPr>
          <w:b/>
        </w:rPr>
        <w:t>E. 5.1</w:t>
      </w:r>
    </w:p>
    <w:p>
      <w:r>
        <w:t>S’agissant de l’infraction de faux dans les titres, la recourante estime qu’il existe un doute quant à l’authenticité de certains documents et qu’une expertise pourrait permettre de déterminer l’auteur des signatures.</w:t>
      </w:r>
    </w:p>
    <w:p>
      <w:r>
        <w:rPr>
          <w:b/>
        </w:rPr>
        <w:t>E. 5.2</w:t>
      </w:r>
    </w:p>
    <w:p>
      <w:r>
        <w:t>Selon l’art. 251 ch. 1 CP, se rend coupable de faux dans les titres quiconque,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au sens de l’art. 110 al. 4 CP, tous les écrits destinés et propres à prouver un fait ayant une portée juridique et tous les signes destinés à prouver un tel fait. L'art. 251 ch. 1 CP vise notamment le faux intellectuel soit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 TF 6B_52/2022 du 16 mars 2023 consid. 4.1.3).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 ATF 142 IV 119 consid. 2.1 et réf. cit. ; TF 6B_383/2019 du 8 novembre 2019 consid. 8.3.1 non publié in ATF 145 IV 470).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 TF 6B_367/2022 du 4 juillet 2022 consid. 1.2 et les réf. cit.).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6B_52/2022 du 16 mars 2023 consid. 4.1.3).</w:t>
      </w:r>
    </w:p>
    <w:p>
      <w:r>
        <w:rPr>
          <w:b/>
        </w:rPr>
        <w:t>E. 5.3</w:t>
      </w:r>
    </w:p>
    <w:p>
      <w:r>
        <w:t>Sur ce point, la motivation de l’ordonnance apparaît convaincante. En effet, il est douteux que la plaignante n’ait eu connaissance du fait qu’elle était liée par le contrat de bail qu’en février 2020 seulement alors qu’elle en a produit une copie paraphée de ses initiales en mars 2019. On ne discerne donc guère lors de quelle phase des relations d’affaires ici en cause un faux aurait pu être confectionné. Aucune mesure d’investigation ne permettrait d’aboutir à une autre appréciation. Le recours doit donc être rejeté à cet égard.</w:t>
      </w:r>
    </w:p>
    <w:p>
      <w:r>
        <w:rPr>
          <w:b/>
        </w:rPr>
        <w:t>E. 6</w:t>
      </w:r>
    </w:p>
    <w:p>
      <w:r>
        <w:t>Enfin, la plaignante fait état d’un déni de justice mais ne prend aucune conclusion à cet égard. Il est vrai que, depuis le rapport d’investigation du 15 août 2022 et la relance du conseil de la recourante du 10 octobre 2023, plusieurs mois se sont déroulés sans opération. Cela étant, le CPP ne spécifie pas le délai dans lequel doit être rendue une ordonnance de non-entrée en matière. Il découle de ce silence que l'ordonnance de non-entrée en matière n'est pas soumise à un délai (TF 6B_89/2022 du 2 juin 2022 consid. 2.3.3 ; TF 1B_111/2012 du 5 avril 2012 consid. 2.1 et 2.2 ; CREP 10 décembre 2019/988 consid. 5.2 ; CREP 25 mars 2019/230 consid. 5.2). Le ministère public doit seulement respecter le principe de la célérité consacré notamment à l’art. 5 CPP (cf. ATF 143 IV 373 consid. 1.3.1). Lorsque, hormis des investigations policières, aucune mesure d’instruction n’a été mise en œuvre depuis la plainte, pas plus qu’une ordonnance d’ouverture d’instruction (art. 309 al. 3 CPP) n’a été rendue dans l’intervalle, le Ministère public conserve ainsi la faculté de statuer par voie d’ordonnance de non-entrée en matière nonobstant le long délai écoulé depuis sa saisine (cf. TF 7B_394/2024 du 12 juin 2024 consid. 2.2). En l’espèce, nonobstant le fait que l’ordonnance entreprise ait été rendue plus de quatre ans après le dépôt de la plainte, le Ministère public conservait la faculté de statuer par voie d’ordonnance de non-entrée en matière, aucune mesure d’instruction n’ayant été mise en œuvre et aucune ordonnance d’ouverture d’instruction n’ayant été rendue dans l’intervalle. La recourante, qui était assistée (cf. la décision de désignation d’un conseil juridique gratuit du 26 janvier 2022), ne s’est au demeurant jamais plainte d’un éventuel retard injustifié après le 10 octobre 2023, pas plus qu’elle n’a soulevé ce grief par la voie d’un recours pour déni de justice avant que l’ordonnance de non-entrée en matière ne soit rendue. Le recours doit ainsi être rejeté à cet égard également.</w:t>
      </w:r>
    </w:p>
    <w:p>
      <w:r>
        <w:rPr>
          <w:b/>
        </w:rPr>
        <w:t>E. 7</w:t>
      </w:r>
    </w:p>
    <w:p>
      <w:r>
        <w:t>Il résulte de ce qui précède que le recours doit être partiellement admis et l’ordonnance entreprise annulée en tant qu’elle vaut non-entrée en matière sur l’infraction d’escroquerie et non-entrée en matière implicite sur l’infraction d’usure. L’ordonnance est confirmée pour le surplus. Le dossier de la cause sera renvoyé au Ministère public de l'arrondissement de l’Est vaudois pour qu’il procède dans le sens des considérants. L’avocat Christian Bacon requiert une extension de son mandat d’office à la présente procédure de recours et demande sa désignation en qualité de conseil juridique gratuit pour cette procédure. La requête d’assistance judiciaire pour la procédure de recours doit être admise (art. 136 al. 3 CPP). Me Christian Bacon, déjà consulté, sera désigné en qualité que conseil juridique gratuit (cf. CREP 20 septembre 2024/672 consid. 3). Au vu de la nature de la cause et du travail accompli par le conseil juridique gratuit de la recourante, il sera retenu cinq heures d’activité nécessaire d’avocat. Au tarif horaire de 180 fr. (art. 2 al. 1 let. a et 3 al. 2 RAJ [règlement sur l'assistance judiciaire en matière civile du 7 décembre 2010 ; BLV 211.02.3], par renvoi de l'art. 26b TFIP), les honoraires nets s’élèvent à 900 francs. S'y ajoutent 2 % pour les débours (art. 3 bis al. 1 RAJ, par renvoi de l'art. 26b TFIP), soit 18 fr., et 8,1 % de TVA sur le tout, soit 74 fr. 35, de sorte que l'indemnité s’élève au total à 993 fr. en chiffres arrondis. Vu que la recourante obtient partiellement gain de cause (l’ordonnance n’étant annulée qu’en tant qu’elle porte sur les infractions d’escroquerie et d’usure), la recourante doit être tenue à la moitié des frais de la procédure de recours, constitués de l’émolument d’arrêt, par 1’870 fr. (art. 20 al. 1 TFIP [tarif des frais de procédure et indemnités en matière pénale du 28 septembre 2010 ; BLV 312.03.1]) et de l’indemnité ci-dessus, dès lors qu’elle succombe partiellement (cf. l’art. 428 al. 1 CPP). Cette part des frais de procédure ne peut toutefois être mise à sa charge, mais doit être provisoirement supportée par l’Etat (Harari/Corminbœuf Harari, in : Kuhn/Jeanneret [éd.], Commentaire romand, Code de procédure pénale suisse, Bâle 2019, n. 51 ad art. 136 CPP), dès lors que la recourante bénéficie de l’assistance judiciaire, qui comprend notamment l’exonération des frais de procédure (art. 136 al. 2 let. b CPP). Elle sera toutefois tenue de rembourser cette part des frais à l’Etat dès que sa situation financière le permettra (art. 135 al. 4 CPP, par renvoi de l’art. 138 al. 1 CPP ; ATF 143 IV 154 consid. 2.3, JdT 2017 IV 347 ; Harari/Corminbœuf Harari, in : Kuhn/Jeanneret [éd.], op. cit., n. 11 ad art. 138 CPP; CREP 23 janvier 2024/65 consid. 4 ; CREP 2 octobre 2023/1032 consid. 4). Le solde des frais sera définitivement laissé à la charge de l’Etat (art. 428 al. 4 CPP). Par ces motifs, la Chambre des recours pénale prononce : I. Le recours est partiellement admis. II. L’ordonnance du 23 août 2024 est annulée en tant qu’elle vaut non-entrée en matière sur les infractions d’escroquerie et d’usure. L’ordonnance est confirmée pour le surplus. III. Le dossier de la cause est renvoyé au Ministère public de l’arrondissement de l’Est vaudois pour qu’il procède dans le sens des considérants. IV. La requête de désignation d’un conseil juridique gratuit en la personne de Christian Bacon pour la procédure de recours est admise. V. L'indemnité allouée à Me Christian Bacon, conseil juridique gratuit d’P.________, est fixée à 993 fr. (neuf cent nonante-trois francs). VI. Les frais de la présente procédure, comprenant les frais d’arrêt, par 1’870 fr. (mille huit cent septante francs), ainsi que les frais imputables à l’assistance du conseil juridique gratuit de la recourante, par 993 fr. (neuf cent nonante-trois francs), sont mis par moitié, soit à hauteur de 1'431 fr. 50 (mille quatre cent trente et un francs et cinquante centimes), à la charge d’P.________ et provisoirement supportés à la charge de l’Etat dans cette même mesure ; les frais sont définitivement laissés à la charge de l’Etat pour le surplus, soit à hauteur de 1'431 fr. 50 ( mille quatre cent trente et un francs et cinquante centimes). VII. P.________, bénéficiaire de l’assistance judiciaire, sera tenue de rembourser à l’Etat la moitié des frais d’arrêt provisoirement laissés à la charge de l’Etat, par 935 fr. (neuf cent trente-cinq francs), ainsi que la moitié de l’indemnité allouée à son conseil juridique gratuit pour la procédure de recours, par 496 fr. 50 (quatre cent nonante-six francs et cinquante centimes), dès que sa situation financière le permettra. VIII. L’arrêt est exécutoire. Le président :              Le greffier : Du Le présent arrêt, dont la rédaction a été approuvée à huis clos, est notifié, par l'envoi d'une copie complète, à : - Me Christian Bacon, avocat (pour P.________),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