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73/II vom 19. Januar 2012</w:t>
      </w:r>
    </w:p>
    <w:p>
      <w:r>
        <w:t>VD Tribunal cantonal, 2012-01-19, FR</w:t>
      </w:r>
    </w:p>
    <w:p>
      <w:r>
        <w:rPr>
          <w:b/>
        </w:rPr>
        <w:t xml:space="preserve">Quelle: </w:t>
      </w:r>
      <w:r>
        <w:t>https://mcp.opencaselaw.ch/entscheid/vd_findinfo_73_II___________</w:t>
      </w:r>
    </w:p>
    <w:p>
      <w:r>
        <w:t>FR: VD_FINDINFO 73/II du 19 janvier 2012</w:t>
      </w:r>
    </w:p>
    <w:p>
      <w:r>
        <w:t>IT: VD_FINDINFO 73/II del 19 gennaio 2012</w:t>
      </w:r>
    </w:p>
    <w:p>
      <w:pPr>
        <w:pStyle w:val="Heading2"/>
      </w:pPr>
      <w:r>
        <w:t>Regeste</w:t>
      </w:r>
    </w:p>
    <w:p>
      <w:r>
        <w:t>FRAIS JUDICIAIRES, DÉPENS, DÉCISION DE RENVOI | 91 CPC, 92 CPC, 67 LTF, 68 al. 5 LTF, 404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Le renvoi porte en l'occurrence uniquement sur la question des frais et dépens de la procédure cantonale.</w:t>
      </w:r>
    </w:p>
    <w:p>
      <w:r>
        <w:rPr>
          <w:b/>
        </w:rPr>
        <w:t>E. 2</w:t>
      </w:r>
    </w:p>
    <w:p>
      <w:r>
        <w:t>Demeurant applicable en vertu de l'art. 404 al. 1 CPC (Code de procédure civile du 19 décembre 2008; RS 272) entré en vigueur le 1 er janvier 2011, l'art. 92 CPC-VD (Code de procédure civile du 14 décembre 1966, en vigueur jusqu'au 31 décembre 2010), prévoit que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En l'espèce, le sort des frais et dépens de première instance peut être confirmé, étant précisé que les parties avaient réglé celui-ci dans la convention partielle sur les effets du divorce du 31 août 2009, en prévoyant que chaque partie gardait ses frais et renonçait à l'allocation de dépens (ch. VI de dite convention). Ainsi, les frais de première instance sont arrêtés à 3'610 fr. pour chacune d'elles, et il n'est pas alloué de dépens de première instance. Les frais de deuxième instance, qui avaient été fixés, en application de l'art. 233 aTFJC, à 2'000 fr. respectivement pour chacune des parties, peuvent être confirmés. S'agissant des dépens de deuxième instance, il convient de relever que B.R.________ avait conclu devant la Chambre des recours à ce que la contribution d'entretien, fixée à 4'000 fr. par les premiers juges, soit portée à 5'000 fr., puis à 6'000 fr. au fur et à mesure que chacun des enfants aura achevé sa formation professionnelle et/ou atteint l'âge de la majorité, jusqu'à ce que la recourante bénéficie des prestations de l'AVS. Quant à A.R.________, il avait conclu à la suppression de toute contribution après divorce en faveur de son épouse. La cour de céans avait partiellement admis le recours du mari et rejeté celui de l'épouse, allouant à cette dernière une contribution mensuelle d'un montant de 1'900 fr. jusqu'à ce qu'elle atteigne l'âge de la retraite. Le Tribunal fédéral - revenant à la solution des premiers juges - a finalement alloué à l'épouse une contribution mensuelle d'un montant de 4'000 fr. jusqu'à ce que celle-ci ait atteint l'âge de la retraite. La solution arrêtée en définitive par le Tribunal fédéral équivaut ainsi à un rejet des deux recours interjetés devant la Chambre des recours. Dans ces circonstances, il se justifie de compenser les dépens de deuxième instance (art. 92 al. 2 CPC-VD). Par ces motifs, la Chambre des recours du Tribunal cantonal, statuant à huis clos, prononce : I. Les frais de première instance sont arrêtés à 3'610 fr. (trois mille six cent dix francs) pour chaque partie. II. Il n'est pas alloué de dépens de première instance. III. Les frais de deuxième instance sont fixés à 2'000 fr. (deux mille francs) pour la recourante B.R.________ et à 2'000 francs (deux mille francs) pour le recourant A.R.________. IV. Les dépens de deuxième instance sont compensés. V. L'arrêt est exécutoire. Le président :               Le greffier : Du L'arrêt qui précède, dont la rédaction a été approuvée à huis clos, est notifié à : ‑ Me Stefan Graf (pour B.R.________), ‑ Me Joël Crettaz (pour A.R.________).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