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735 vom 5. Oktober 2022</w:t>
      </w:r>
    </w:p>
    <w:p>
      <w:r>
        <w:t>VD Tribunal cantonal, 2022-10-05, FR</w:t>
      </w:r>
    </w:p>
    <w:p>
      <w:r>
        <w:rPr>
          <w:b/>
        </w:rPr>
        <w:t xml:space="preserve">Quelle: </w:t>
      </w:r>
      <w:r>
        <w:t>https://mcp.opencaselaw.ch/entscheid/vd_findinfo_735___________</w:t>
      </w:r>
    </w:p>
    <w:p>
      <w:r>
        <w:t>FR: VD_FINDINFO 735 du 5 octobre 2022</w:t>
      </w:r>
    </w:p>
    <w:p>
      <w:r>
        <w:t>IT: VD_FINDINFO 735 del 5 ottobre 2022</w:t>
      </w:r>
    </w:p>
    <w:p>
      <w:pPr>
        <w:pStyle w:val="Heading2"/>
      </w:pPr>
      <w:r>
        <w:t>Regeste</w:t>
      </w:r>
    </w:p>
    <w:p>
      <w:r>
        <w:t>DÉTENTION PROVISOIRE, RISQUE DE RÉCIDIVE, SOUPÇON | 221 al. 1 let. c CPP (CH)</w:t>
      </w:r>
    </w:p>
    <w:p>
      <w:pPr>
        <w:pStyle w:val="Heading2"/>
      </w:pPr>
      <w:r>
        <w:t>Erwägungen</w:t>
      </w:r>
    </w:p>
    <w:p>
      <w:r>
        <w:rPr>
          <w:b/>
        </w:rPr>
        <w:t>E. 7</w:t>
      </w:r>
    </w:p>
    <w:p>
      <w:r>
        <w:t>En définitive, le recours, manifestement mal fondé, doit être rejeté sans échange d'écritures (art. 390 al. 2 CPP) et l'ordonnance attaquée confirmée. Les frais de la procédure de recours sont constitués de l'émolument d'arrêt, par 1’320 fr. (art. 20 al. 1 TFIP [Tarif des frais de procédure et indemnités en matière pénale du 28 septembre 2010 ; BLV 312.03.1]), et des frais imputables à la défense d'office (art. 422 al. 1 et 2 let. a CPP), fixés à 540 fr. (3 heures d’activité nécessaire d’avocat au tarif horaire de 180 fr.), auxquels il convient d’ajouter des débours forfaitaires à concurrence de 2 % (art. 3bis al. 1 RAJ [Règlement sur l’assistance judiciaire en matière civile du 7 décembre 2010 ; BLV 211.02.3], applicable par renvoi de l’art. 26b TFIP), par</w:t>
      </w:r>
    </w:p>
    <w:p>
      <w:r>
        <w:rPr>
          <w:b/>
        </w:rPr>
        <w:t>E. 10</w:t>
      </w:r>
    </w:p>
    <w:p>
      <w:r>
        <w:t>fr. 80, et la TVA, par 42 fr. 40, soit à 594 fr. au total, en chiffres arrondis. Vu l’issue de la cause, ces frais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20 septembre 2022 est confirmée. III. L’indemnité allouée à Me Philippe Baudraz, défenseur d’office d’X.________, est arrêtée à 594 fr. (cinq cent nonante-quatre francs). IV. Les frais d'arrêt, par 1’320 fr. (mille trois cent vingt francs), ainsi que l'indemnité allouée à Me Philippe Baudraz, par 594 fr. (cinq cent nonante-quatre francs), sont mis à la charge d’X.________. V. Le remboursement à l'Etat de l'indemnité allouée sous chiffre III ci-dessus ne sera exigible d’X.________ que pour autant que sa situation financière le permette. VI. L’arrêt est exécutoire. La présidente :               La greffière : Du Le présent arrêt, dont la rédaction a été approuvée à huis clos, est notifié, par l'envoi d'une copie complète, à : - Me Philippe Baudraz, avocat (pour X.________), - Ministère public central, et communiqué à : - Mme la Présidente du Tribunal des mesures de contrainte, - M. le Procureur du Ministère public cantonal Strada, - Prison de la Croisée,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